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Pr="00D90968">
        <w:rPr>
          <w:sz w:val="20"/>
          <w:lang w:val="sv-SE"/>
        </w:rPr>
        <w:tab/>
        <w:t>R1-13</w:t>
      </w:r>
      <w:r w:rsidR="009A2FCA">
        <w:rPr>
          <w:sz w:val="20"/>
          <w:lang w:val="sv-SE"/>
        </w:rPr>
        <w:t>3999</w:t>
      </w:r>
    </w:p>
    <w:p w:rsidR="00197EC1" w:rsidRDefault="00167632" w:rsidP="00197EC1">
      <w:pPr>
        <w:pStyle w:val="FootnoteText"/>
        <w:rPr>
          <w:rFonts w:ascii="Arial" w:eastAsia="Times New Roman" w:hAnsi="Arial" w:cs="Arial"/>
          <w:b/>
          <w:bCs/>
          <w:noProof/>
          <w:szCs w:val="18"/>
          <w:lang w:eastAsia="zh-CN"/>
        </w:rPr>
      </w:pPr>
      <w:r w:rsidRPr="00167632">
        <w:rPr>
          <w:rFonts w:ascii="Arial" w:eastAsia="Times New Roman" w:hAnsi="Arial" w:cs="Arial"/>
          <w:b/>
          <w:bCs/>
          <w:noProof/>
          <w:szCs w:val="18"/>
          <w:lang w:eastAsia="zh-CN"/>
        </w:rPr>
        <w:t>Barcelona, Spain, 19th – 23th, Aug 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4D734A" w:rsidRPr="004D734A">
        <w:rPr>
          <w:sz w:val="20"/>
          <w:lang w:val="en-US"/>
        </w:rPr>
        <w:t>Further discussion on open issues in demodulation</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37E20">
        <w:rPr>
          <w:sz w:val="20"/>
          <w:lang w:val="en-US"/>
        </w:rPr>
        <w:t>7.</w:t>
      </w:r>
      <w:r w:rsidR="000274E0">
        <w:rPr>
          <w:sz w:val="20"/>
          <w:lang w:val="en-US"/>
        </w:rPr>
        <w:t>8.2.2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4D734A" w:rsidRDefault="00C75E59" w:rsidP="004D734A">
      <w:pPr>
        <w:rPr>
          <w:lang w:val="en-US"/>
        </w:rPr>
      </w:pPr>
      <w:r>
        <w:rPr>
          <w:lang w:val="en-US"/>
        </w:rPr>
        <w:t>In RAN4#6</w:t>
      </w:r>
      <w:r w:rsidR="004D734A">
        <w:rPr>
          <w:lang w:val="en-US"/>
        </w:rPr>
        <w:t>7</w:t>
      </w:r>
      <w:r w:rsidR="00C60C1E">
        <w:rPr>
          <w:lang w:val="en-US"/>
        </w:rPr>
        <w:t xml:space="preserve"> meeting, </w:t>
      </w:r>
      <w:r w:rsidR="004D734A">
        <w:rPr>
          <w:lang w:val="en-US"/>
        </w:rPr>
        <w:t xml:space="preserve">we have the following agreements in [1]. </w:t>
      </w:r>
    </w:p>
    <w:p w:rsidR="004D734A" w:rsidRDefault="004D734A" w:rsidP="004D734A">
      <w:pPr>
        <w:pStyle w:val="ListParagraph"/>
        <w:widowControl w:val="0"/>
        <w:numPr>
          <w:ilvl w:val="0"/>
          <w:numId w:val="43"/>
        </w:numPr>
        <w:overflowPunct/>
        <w:autoSpaceDE/>
        <w:autoSpaceDN/>
        <w:adjustRightInd/>
        <w:spacing w:afterLines="50"/>
        <w:jc w:val="left"/>
        <w:textAlignment w:val="auto"/>
        <w:rPr>
          <w:sz w:val="20"/>
        </w:rPr>
      </w:pPr>
      <w:r>
        <w:rPr>
          <w:rFonts w:hint="eastAsia"/>
          <w:sz w:val="20"/>
        </w:rPr>
        <w:t>Introduce the high SNR test case for FeICIC.</w:t>
      </w:r>
    </w:p>
    <w:p w:rsidR="004D734A" w:rsidRPr="00A04443" w:rsidRDefault="004D734A" w:rsidP="004D734A">
      <w:pPr>
        <w:pStyle w:val="ListParagraph"/>
        <w:widowControl w:val="0"/>
        <w:numPr>
          <w:ilvl w:val="1"/>
          <w:numId w:val="43"/>
        </w:numPr>
        <w:overflowPunct/>
        <w:autoSpaceDE/>
        <w:autoSpaceDN/>
        <w:adjustRightInd/>
        <w:spacing w:afterLines="50"/>
        <w:jc w:val="left"/>
        <w:textAlignment w:val="auto"/>
        <w:rPr>
          <w:sz w:val="20"/>
        </w:rPr>
      </w:pPr>
      <w:r>
        <w:rPr>
          <w:rFonts w:hint="eastAsia"/>
          <w:sz w:val="20"/>
        </w:rPr>
        <w:t>There are two options for test methods and they will be evaluated further in the next meeting.</w:t>
      </w:r>
    </w:p>
    <w:p w:rsidR="004D734A" w:rsidRPr="00A04443" w:rsidRDefault="004D734A" w:rsidP="00B26D78">
      <w:pPr>
        <w:pStyle w:val="ListParagraph"/>
        <w:widowControl w:val="0"/>
        <w:numPr>
          <w:ilvl w:val="2"/>
          <w:numId w:val="43"/>
        </w:numPr>
        <w:overflowPunct/>
        <w:autoSpaceDE/>
        <w:autoSpaceDN/>
        <w:adjustRightInd/>
        <w:spacing w:afterLines="50"/>
        <w:jc w:val="left"/>
        <w:textAlignment w:val="auto"/>
        <w:rPr>
          <w:sz w:val="20"/>
        </w:rPr>
      </w:pPr>
      <w:r w:rsidRPr="00A04443">
        <w:rPr>
          <w:rFonts w:hint="eastAsia"/>
          <w:sz w:val="20"/>
        </w:rPr>
        <w:t>Option 1: lower the interference levels for both aggressor cells</w:t>
      </w:r>
      <w:r>
        <w:rPr>
          <w:rFonts w:hint="eastAsia"/>
          <w:sz w:val="20"/>
        </w:rPr>
        <w:t xml:space="preserve"> (D1/Noc1 = 5, D2/Noc1 = 3)</w:t>
      </w:r>
      <w:r w:rsidRPr="00A04443">
        <w:rPr>
          <w:rFonts w:hint="eastAsia"/>
          <w:sz w:val="20"/>
        </w:rPr>
        <w:t>; define the minimum requirements with no CRS-IC. The MCS is the same as TM3 test case.</w:t>
      </w:r>
      <w:r>
        <w:rPr>
          <w:rFonts w:hint="eastAsia"/>
          <w:sz w:val="20"/>
        </w:rPr>
        <w:t xml:space="preserve"> The CRS configuration is the same as TM3 test cases.</w:t>
      </w:r>
    </w:p>
    <w:p w:rsidR="004D734A" w:rsidRPr="00377304" w:rsidRDefault="004D734A" w:rsidP="00B26D78">
      <w:pPr>
        <w:pStyle w:val="ListParagraph"/>
        <w:widowControl w:val="0"/>
        <w:numPr>
          <w:ilvl w:val="2"/>
          <w:numId w:val="43"/>
        </w:numPr>
        <w:overflowPunct/>
        <w:autoSpaceDE/>
        <w:autoSpaceDN/>
        <w:adjustRightInd/>
        <w:spacing w:afterLines="50"/>
        <w:jc w:val="left"/>
        <w:textAlignment w:val="auto"/>
        <w:rPr>
          <w:sz w:val="20"/>
        </w:rPr>
      </w:pPr>
      <w:r w:rsidRPr="00A04443">
        <w:rPr>
          <w:rFonts w:hint="eastAsia"/>
          <w:sz w:val="20"/>
        </w:rPr>
        <w:t>Option 2: use R.35 and lower the interference level of the 2</w:t>
      </w:r>
      <w:r w:rsidRPr="004D734A">
        <w:rPr>
          <w:rFonts w:hint="eastAsia"/>
          <w:sz w:val="20"/>
        </w:rPr>
        <w:t>nd</w:t>
      </w:r>
      <w:r w:rsidRPr="00A04443">
        <w:rPr>
          <w:rFonts w:hint="eastAsia"/>
          <w:sz w:val="20"/>
        </w:rPr>
        <w:t xml:space="preserve"> aggressor cell.</w:t>
      </w:r>
      <w:r>
        <w:rPr>
          <w:rFonts w:hint="eastAsia"/>
          <w:sz w:val="20"/>
        </w:rPr>
        <w:t xml:space="preserve"> (D1/Noc1 = 9dB, D2/Noc1=1dB).</w:t>
      </w:r>
      <w:r w:rsidRPr="002057D9">
        <w:rPr>
          <w:rFonts w:hint="eastAsia"/>
          <w:sz w:val="20"/>
        </w:rPr>
        <w:t xml:space="preserve"> </w:t>
      </w:r>
      <w:r>
        <w:rPr>
          <w:rFonts w:hint="eastAsia"/>
          <w:sz w:val="20"/>
        </w:rPr>
        <w:t>The CRS configuration is the same as TM3 test cases.</w:t>
      </w:r>
    </w:p>
    <w:p w:rsidR="004D734A" w:rsidRPr="004D734A" w:rsidRDefault="004D734A" w:rsidP="004D734A">
      <w:pPr>
        <w:pStyle w:val="ListParagraph"/>
        <w:widowControl w:val="0"/>
        <w:numPr>
          <w:ilvl w:val="0"/>
          <w:numId w:val="43"/>
        </w:numPr>
        <w:overflowPunct/>
        <w:autoSpaceDE/>
        <w:autoSpaceDN/>
        <w:adjustRightInd/>
        <w:spacing w:afterLines="50"/>
        <w:jc w:val="left"/>
        <w:textAlignment w:val="auto"/>
        <w:rPr>
          <w:sz w:val="20"/>
        </w:rPr>
      </w:pPr>
      <w:r w:rsidRPr="004D734A">
        <w:rPr>
          <w:rFonts w:hint="eastAsia"/>
          <w:sz w:val="20"/>
        </w:rPr>
        <w:t>Bandwidth for aggressor cells:</w:t>
      </w:r>
    </w:p>
    <w:p w:rsidR="004D734A" w:rsidRPr="004D734A" w:rsidRDefault="004D734A" w:rsidP="004D734A">
      <w:pPr>
        <w:pStyle w:val="ListParagraph"/>
        <w:widowControl w:val="0"/>
        <w:numPr>
          <w:ilvl w:val="1"/>
          <w:numId w:val="43"/>
        </w:numPr>
        <w:overflowPunct/>
        <w:autoSpaceDE/>
        <w:autoSpaceDN/>
        <w:adjustRightInd/>
        <w:spacing w:afterLines="50"/>
        <w:jc w:val="left"/>
        <w:textAlignment w:val="auto"/>
        <w:rPr>
          <w:sz w:val="20"/>
        </w:rPr>
      </w:pPr>
      <w:r w:rsidRPr="004D734A">
        <w:rPr>
          <w:rFonts w:hint="eastAsia"/>
          <w:sz w:val="20"/>
        </w:rPr>
        <w:t>Option 1: 10MHz for serving cell and aggressor cells</w:t>
      </w:r>
    </w:p>
    <w:p w:rsidR="004D734A" w:rsidRPr="004D734A" w:rsidRDefault="004D734A" w:rsidP="004D734A">
      <w:pPr>
        <w:pStyle w:val="ListParagraph"/>
        <w:widowControl w:val="0"/>
        <w:numPr>
          <w:ilvl w:val="1"/>
          <w:numId w:val="43"/>
        </w:numPr>
        <w:overflowPunct/>
        <w:autoSpaceDE/>
        <w:autoSpaceDN/>
        <w:adjustRightInd/>
        <w:spacing w:afterLines="50"/>
        <w:jc w:val="left"/>
        <w:textAlignment w:val="auto"/>
        <w:rPr>
          <w:sz w:val="20"/>
        </w:rPr>
      </w:pPr>
      <w:r w:rsidRPr="004D734A">
        <w:rPr>
          <w:rFonts w:hint="eastAsia"/>
          <w:sz w:val="20"/>
        </w:rPr>
        <w:t>Option 2: 1.4MHz for serving cell and aggressor cells</w:t>
      </w:r>
    </w:p>
    <w:p w:rsidR="004D734A" w:rsidRPr="004D734A" w:rsidRDefault="004D734A" w:rsidP="004D734A">
      <w:pPr>
        <w:pStyle w:val="ListParagraph"/>
        <w:widowControl w:val="0"/>
        <w:numPr>
          <w:ilvl w:val="1"/>
          <w:numId w:val="43"/>
        </w:numPr>
        <w:overflowPunct/>
        <w:autoSpaceDE/>
        <w:autoSpaceDN/>
        <w:adjustRightInd/>
        <w:spacing w:afterLines="50"/>
        <w:jc w:val="left"/>
        <w:textAlignment w:val="auto"/>
        <w:rPr>
          <w:sz w:val="20"/>
        </w:rPr>
      </w:pPr>
      <w:r w:rsidRPr="004D734A">
        <w:rPr>
          <w:rFonts w:hint="eastAsia"/>
          <w:sz w:val="20"/>
        </w:rPr>
        <w:t>Further check in the next meeting.</w:t>
      </w:r>
    </w:p>
    <w:p w:rsidR="00C75E59" w:rsidRPr="00C75E59" w:rsidRDefault="00C75E59" w:rsidP="00FC1BB8">
      <w:pPr>
        <w:rPr>
          <w:lang w:val="en-US"/>
        </w:rPr>
      </w:pPr>
      <w:r>
        <w:rPr>
          <w:lang w:val="en-US"/>
        </w:rPr>
        <w:t>In this paper, we provide link level simulation results for</w:t>
      </w:r>
      <w:r w:rsidR="00BE7E2A">
        <w:rPr>
          <w:lang w:val="en-US"/>
        </w:rPr>
        <w:t xml:space="preserve"> these options</w:t>
      </w:r>
      <w:r>
        <w:rPr>
          <w:lang w:val="en-US"/>
        </w:rPr>
        <w:t xml:space="preserve">. </w:t>
      </w:r>
      <w:r w:rsidR="00C226D4">
        <w:rPr>
          <w:lang w:val="en-US"/>
        </w:rPr>
        <w:t xml:space="preserve">Based on the </w:t>
      </w:r>
      <w:r w:rsidR="00C76A66">
        <w:rPr>
          <w:lang w:val="en-US"/>
        </w:rPr>
        <w:t>link level simulation, w</w:t>
      </w:r>
      <w:r w:rsidR="00BE7E2A">
        <w:rPr>
          <w:lang w:val="en-US"/>
        </w:rPr>
        <w:t xml:space="preserve">e provide our view on </w:t>
      </w:r>
      <w:r w:rsidR="00686FFB">
        <w:rPr>
          <w:lang w:val="en-US"/>
        </w:rPr>
        <w:t xml:space="preserve">high SNR </w:t>
      </w:r>
      <w:r w:rsidR="00C76A66">
        <w:rPr>
          <w:lang w:val="en-US"/>
        </w:rPr>
        <w:t>test</w:t>
      </w:r>
      <w:r w:rsidR="00686FFB">
        <w:rPr>
          <w:lang w:val="en-US"/>
        </w:rPr>
        <w:t xml:space="preserve"> and PBCH bandwidth</w:t>
      </w:r>
      <w:r w:rsidR="00C76A66">
        <w:rPr>
          <w:lang w:val="en-US"/>
        </w:rPr>
        <w:t xml:space="preserve">. </w:t>
      </w:r>
    </w:p>
    <w:p w:rsidR="00C60C1E" w:rsidRDefault="005A101D" w:rsidP="00C45056">
      <w:pPr>
        <w:pStyle w:val="Heading1"/>
        <w:rPr>
          <w:lang w:val="en-US"/>
        </w:rPr>
      </w:pPr>
      <w:r>
        <w:rPr>
          <w:lang w:val="en-US"/>
        </w:rPr>
        <w:t>Discussion for high SNR</w:t>
      </w:r>
      <w:r w:rsidR="00603148">
        <w:rPr>
          <w:lang w:val="en-US"/>
        </w:rPr>
        <w:t xml:space="preserve"> test</w:t>
      </w:r>
    </w:p>
    <w:p w:rsidR="0026048E" w:rsidRDefault="0026048E" w:rsidP="00F362FF">
      <w:pPr>
        <w:rPr>
          <w:lang w:val="en-US"/>
        </w:rPr>
      </w:pPr>
      <w:r>
        <w:rPr>
          <w:lang w:val="en-US"/>
        </w:rPr>
        <w:t>As discussed in the introduction, for high SNR test case, we have two options:</w:t>
      </w:r>
    </w:p>
    <w:p w:rsidR="0026048E" w:rsidRDefault="0026048E" w:rsidP="0026048E">
      <w:pPr>
        <w:pStyle w:val="ListParagraph"/>
        <w:numPr>
          <w:ilvl w:val="0"/>
          <w:numId w:val="49"/>
        </w:numPr>
      </w:pPr>
      <w:r>
        <w:t>Option 1: lower the interference levels for both aggressor cells (D1/Noc1 = 5, D2/Noc1 = 3); define the minimum requirements with no CRS-IC. The MCS is the same as TM3 test case. The CRS configuration is the same as TM3 test cases.</w:t>
      </w:r>
    </w:p>
    <w:p w:rsidR="0026048E" w:rsidRPr="0026048E" w:rsidRDefault="0026048E" w:rsidP="0026048E">
      <w:pPr>
        <w:pStyle w:val="ListParagraph"/>
        <w:numPr>
          <w:ilvl w:val="0"/>
          <w:numId w:val="49"/>
        </w:numPr>
      </w:pPr>
      <w:r>
        <w:t>Option 2: use R.35 and lower the interference level of the 2nd aggressor cell. (D1/Noc1 = 9dB, D2/Noc1=1dB). The CRS configuration is the same as TM3 test cases.</w:t>
      </w:r>
    </w:p>
    <w:p w:rsidR="00401D54" w:rsidRDefault="00F6023C" w:rsidP="00F362FF">
      <w:pPr>
        <w:rPr>
          <w:lang w:val="en-US"/>
        </w:rPr>
      </w:pPr>
      <w:r>
        <w:rPr>
          <w:lang w:val="en-US"/>
        </w:rPr>
        <w:t>In this section, link level simulation is provided for these two option2. The common simulation</w:t>
      </w:r>
      <w:r w:rsidR="0026048E">
        <w:rPr>
          <w:lang w:val="en-US"/>
        </w:rPr>
        <w:t xml:space="preserve"> parameters are show in </w:t>
      </w:r>
      <w:r>
        <w:rPr>
          <w:lang w:val="en-US"/>
        </w:rPr>
        <w:fldChar w:fldCharType="begin"/>
      </w:r>
      <w:r>
        <w:rPr>
          <w:lang w:val="en-US"/>
        </w:rPr>
        <w:instrText xml:space="preserve"> REF _Ref364079743 \h  \* MERGEFORMAT </w:instrText>
      </w:r>
      <w:r>
        <w:rPr>
          <w:lang w:val="en-US"/>
        </w:rPr>
      </w:r>
      <w:r>
        <w:rPr>
          <w:lang w:val="en-US"/>
        </w:rPr>
        <w:fldChar w:fldCharType="separate"/>
      </w:r>
      <w:r w:rsidRPr="00F6023C">
        <w:rPr>
          <w:lang w:val="en-US"/>
        </w:rPr>
        <w:t>Table 1</w:t>
      </w:r>
      <w:r>
        <w:rPr>
          <w:lang w:val="en-US"/>
        </w:rPr>
        <w:fldChar w:fldCharType="end"/>
      </w:r>
      <w:r w:rsidR="001C6E3D">
        <w:rPr>
          <w:lang w:val="en-US"/>
        </w:rPr>
        <w:t xml:space="preserve"> of Appendix A</w:t>
      </w:r>
      <w:bookmarkStart w:id="4" w:name="_GoBack"/>
      <w:bookmarkEnd w:id="4"/>
      <w:r>
        <w:rPr>
          <w:lang w:val="en-US"/>
        </w:rPr>
        <w:t xml:space="preserve">. For these two options, there are two exceptions regarding the simulation parameters, one is MCS and the other is the strength of the aggressor cells. </w:t>
      </w:r>
      <w:r w:rsidR="00F753B2">
        <w:rPr>
          <w:lang w:val="en-US"/>
        </w:rPr>
        <w:t xml:space="preserve">The link </w:t>
      </w:r>
      <w:r w:rsidR="00FD2567">
        <w:rPr>
          <w:lang w:val="en-US"/>
        </w:rPr>
        <w:t>level simulation</w:t>
      </w:r>
      <w:r w:rsidR="00F753B2">
        <w:rPr>
          <w:lang w:val="en-US"/>
        </w:rPr>
        <w:t xml:space="preserve"> results are shown in </w:t>
      </w:r>
      <w:r w:rsidR="00F753B2">
        <w:rPr>
          <w:lang w:val="en-US"/>
        </w:rPr>
        <w:fldChar w:fldCharType="begin"/>
      </w:r>
      <w:r w:rsidR="00F753B2">
        <w:rPr>
          <w:lang w:val="en-US"/>
        </w:rPr>
        <w:instrText xml:space="preserve"> REF _Ref364079852 \h </w:instrText>
      </w:r>
      <w:r w:rsidR="00F753B2">
        <w:rPr>
          <w:lang w:val="en-US"/>
        </w:rPr>
      </w:r>
      <w:r w:rsidR="00F753B2">
        <w:rPr>
          <w:lang w:val="en-US"/>
        </w:rPr>
        <w:fldChar w:fldCharType="separate"/>
      </w:r>
      <w:r w:rsidR="00F753B2">
        <w:t xml:space="preserve">Figure </w:t>
      </w:r>
      <w:r w:rsidR="00F753B2">
        <w:rPr>
          <w:noProof/>
        </w:rPr>
        <w:t>1</w:t>
      </w:r>
      <w:r w:rsidR="00F753B2">
        <w:rPr>
          <w:lang w:val="en-US"/>
        </w:rPr>
        <w:fldChar w:fldCharType="end"/>
      </w:r>
      <w:r w:rsidR="00F753B2">
        <w:rPr>
          <w:lang w:val="en-US"/>
        </w:rPr>
        <w:t xml:space="preserve"> and </w:t>
      </w:r>
      <w:r w:rsidR="00F753B2">
        <w:rPr>
          <w:lang w:val="en-US"/>
        </w:rPr>
        <w:fldChar w:fldCharType="begin"/>
      </w:r>
      <w:r w:rsidR="00F753B2">
        <w:rPr>
          <w:lang w:val="en-US"/>
        </w:rPr>
        <w:instrText xml:space="preserve"> REF _Ref364079853 \h </w:instrText>
      </w:r>
      <w:r w:rsidR="00F753B2">
        <w:rPr>
          <w:lang w:val="en-US"/>
        </w:rPr>
      </w:r>
      <w:r w:rsidR="00F753B2">
        <w:rPr>
          <w:lang w:val="en-US"/>
        </w:rPr>
        <w:fldChar w:fldCharType="separate"/>
      </w:r>
      <w:r w:rsidR="00F753B2">
        <w:t xml:space="preserve">Figure </w:t>
      </w:r>
      <w:r w:rsidR="00F753B2">
        <w:rPr>
          <w:noProof/>
        </w:rPr>
        <w:t>2</w:t>
      </w:r>
      <w:r w:rsidR="00F753B2">
        <w:rPr>
          <w:lang w:val="en-US"/>
        </w:rPr>
        <w:fldChar w:fldCharType="end"/>
      </w:r>
      <w:r w:rsidR="00F753B2">
        <w:rPr>
          <w:lang w:val="en-US"/>
        </w:rPr>
        <w:t xml:space="preserve">. </w:t>
      </w:r>
      <w:r w:rsidR="00401D54">
        <w:rPr>
          <w:lang w:val="en-US"/>
        </w:rPr>
        <w:t xml:space="preserve">Based on the results, the ideal target SNR for option 1 is about 12.5 dB and for option 2 is about 19.2 dB. </w:t>
      </w:r>
    </w:p>
    <w:p w:rsidR="00F6023C" w:rsidRPr="00F362FF" w:rsidRDefault="0075389A" w:rsidP="00F362FF">
      <w:pPr>
        <w:rPr>
          <w:lang w:val="en-US"/>
        </w:rPr>
      </w:pPr>
      <w:r>
        <w:rPr>
          <w:lang w:val="en-US"/>
        </w:rPr>
        <w:t>Up to now</w:t>
      </w:r>
      <w:r w:rsidR="00AE1DC9">
        <w:rPr>
          <w:lang w:val="en-US"/>
        </w:rPr>
        <w:t>,</w:t>
      </w:r>
      <w:r>
        <w:rPr>
          <w:lang w:val="en-US"/>
        </w:rPr>
        <w:t xml:space="preserve"> </w:t>
      </w:r>
      <w:r w:rsidR="00AE1DC9">
        <w:rPr>
          <w:lang w:val="en-US"/>
        </w:rPr>
        <w:t>we have TM2 with QPSK, TM3 with 16QAM and TM6 with 16QAM</w:t>
      </w:r>
      <w:r>
        <w:rPr>
          <w:lang w:val="en-US"/>
        </w:rPr>
        <w:t xml:space="preserve"> according to current agreements</w:t>
      </w:r>
      <w:r w:rsidR="00AE1DC9">
        <w:rPr>
          <w:lang w:val="en-US"/>
        </w:rPr>
        <w:t xml:space="preserve">. </w:t>
      </w:r>
      <w:r>
        <w:rPr>
          <w:lang w:val="en-US"/>
        </w:rPr>
        <w:t xml:space="preserve">But no tests are used for 64QAM. R.35 can fill in the test blanks. </w:t>
      </w:r>
      <w:r w:rsidR="003069C5">
        <w:rPr>
          <w:lang w:val="en-US"/>
        </w:rPr>
        <w:t xml:space="preserve">Further, in FeICIC test, D1/D2 is artificially set to be close, i.e, 2 dB or 3 dB to exclude UE implement where only one aggressor CRS is mitigated. But based on the system level simulation, in most case, the interference strength difference between the second aggressor and the first aggressor cell is much larger than 3 dB. This practical setup is not verified in RAN4 yet. Based on the simulation, the target SNR using option 2 lies in </w:t>
      </w:r>
      <w:r w:rsidR="005E3E27">
        <w:rPr>
          <w:lang w:val="en-US"/>
        </w:rPr>
        <w:t xml:space="preserve">reasonable region. It can be used to verify UE shall smart use CRS-IM at least without any performance loss even the interference is weaker. Hence, we slightly prefer option 2 as the test setup for high SNR test. </w:t>
      </w:r>
    </w:p>
    <w:p w:rsidR="00603148" w:rsidRDefault="00603148" w:rsidP="00603148">
      <w:pPr>
        <w:rPr>
          <w:lang w:val="en-US"/>
        </w:rPr>
      </w:pPr>
    </w:p>
    <w:p w:rsidR="00603148" w:rsidRDefault="00603148" w:rsidP="00603148">
      <w:pPr>
        <w:keepNext/>
        <w:jc w:val="center"/>
      </w:pPr>
      <w:r>
        <w:rPr>
          <w:noProof/>
          <w:lang w:val="en-US"/>
        </w:rPr>
        <w:lastRenderedPageBreak/>
        <w:drawing>
          <wp:inline distT="0" distB="0" distL="0" distR="0" wp14:anchorId="007B9914" wp14:editId="20AC4B91">
            <wp:extent cx="3904090" cy="2883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9200" cy="2887164"/>
                    </a:xfrm>
                    <a:prstGeom prst="rect">
                      <a:avLst/>
                    </a:prstGeom>
                    <a:noFill/>
                    <a:ln>
                      <a:noFill/>
                    </a:ln>
                  </pic:spPr>
                </pic:pic>
              </a:graphicData>
            </a:graphic>
          </wp:inline>
        </w:drawing>
      </w:r>
    </w:p>
    <w:p w:rsidR="00603148" w:rsidRDefault="00603148" w:rsidP="00603148">
      <w:pPr>
        <w:pStyle w:val="Caption"/>
        <w:rPr>
          <w:lang w:val="en-US"/>
        </w:rPr>
      </w:pPr>
      <w:bookmarkStart w:id="5" w:name="_Ref364079852"/>
      <w:bookmarkStart w:id="6" w:name="_Ref364079849"/>
      <w:r>
        <w:t xml:space="preserve">Figure </w:t>
      </w:r>
      <w:r>
        <w:fldChar w:fldCharType="begin"/>
      </w:r>
      <w:r>
        <w:instrText xml:space="preserve"> SEQ Figure \* ARABIC </w:instrText>
      </w:r>
      <w:r>
        <w:fldChar w:fldCharType="separate"/>
      </w:r>
      <w:r w:rsidR="008E4E2D">
        <w:rPr>
          <w:noProof/>
        </w:rPr>
        <w:t>1</w:t>
      </w:r>
      <w:r>
        <w:fldChar w:fldCharType="end"/>
      </w:r>
      <w:bookmarkEnd w:id="5"/>
      <w:r>
        <w:t>: Performance for TM3 16QAM with D1/Noc=5 dB and D2/Noc =3 dB</w:t>
      </w:r>
      <w:bookmarkEnd w:id="6"/>
    </w:p>
    <w:p w:rsidR="00F362FF" w:rsidRDefault="00603148" w:rsidP="00F362FF">
      <w:pPr>
        <w:keepNext/>
        <w:jc w:val="center"/>
      </w:pPr>
      <w:r>
        <w:rPr>
          <w:noProof/>
          <w:lang w:val="en-US"/>
        </w:rPr>
        <w:drawing>
          <wp:inline distT="0" distB="0" distL="0" distR="0" wp14:anchorId="0CDBAF1B" wp14:editId="62D94AFA">
            <wp:extent cx="4164478" cy="295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4141" cy="2951396"/>
                    </a:xfrm>
                    <a:prstGeom prst="rect">
                      <a:avLst/>
                    </a:prstGeom>
                    <a:noFill/>
                    <a:ln>
                      <a:noFill/>
                    </a:ln>
                  </pic:spPr>
                </pic:pic>
              </a:graphicData>
            </a:graphic>
          </wp:inline>
        </w:drawing>
      </w:r>
    </w:p>
    <w:p w:rsidR="00F362FF" w:rsidRDefault="00F362FF" w:rsidP="00F362FF">
      <w:pPr>
        <w:pStyle w:val="Caption"/>
        <w:rPr>
          <w:lang w:val="en-US"/>
        </w:rPr>
      </w:pPr>
      <w:bookmarkStart w:id="7" w:name="_Ref364079853"/>
      <w:r>
        <w:t xml:space="preserve">Figure </w:t>
      </w:r>
      <w:r>
        <w:fldChar w:fldCharType="begin"/>
      </w:r>
      <w:r>
        <w:instrText xml:space="preserve"> SEQ Figure \* ARABIC </w:instrText>
      </w:r>
      <w:r>
        <w:fldChar w:fldCharType="separate"/>
      </w:r>
      <w:r w:rsidR="008E4E2D">
        <w:rPr>
          <w:noProof/>
        </w:rPr>
        <w:t>2</w:t>
      </w:r>
      <w:r>
        <w:fldChar w:fldCharType="end"/>
      </w:r>
      <w:bookmarkEnd w:id="7"/>
      <w:r>
        <w:t>: Performance for TM3 64QAM with D1/Noc=9 dB and D2/Noc =1 dB</w:t>
      </w:r>
    </w:p>
    <w:p w:rsidR="008E4E2D" w:rsidRPr="008E4E2D" w:rsidRDefault="008E4E2D" w:rsidP="008E4E2D">
      <w:pPr>
        <w:rPr>
          <w:lang w:val="en-US"/>
        </w:rPr>
      </w:pPr>
      <w:r>
        <w:rPr>
          <w:lang w:val="en-US"/>
        </w:rPr>
        <w:t>Based on the above analysis, we have:</w:t>
      </w:r>
    </w:p>
    <w:p w:rsidR="00603148" w:rsidRDefault="008E4E2D" w:rsidP="008E4E2D">
      <w:pPr>
        <w:pStyle w:val="Caption"/>
        <w:numPr>
          <w:ilvl w:val="0"/>
          <w:numId w:val="50"/>
        </w:numPr>
        <w:jc w:val="both"/>
        <w:rPr>
          <w:i/>
          <w:lang w:val="en-US"/>
        </w:rPr>
      </w:pPr>
      <w:r w:rsidRPr="008E4E2D">
        <w:rPr>
          <w:i/>
          <w:lang w:val="en-US"/>
        </w:rPr>
        <w:t>Proposal 1:</w:t>
      </w:r>
      <w:r>
        <w:rPr>
          <w:i/>
          <w:lang w:val="en-US"/>
        </w:rPr>
        <w:t xml:space="preserve"> Option 2 is preferred as the setup for high SNR test</w:t>
      </w:r>
    </w:p>
    <w:p w:rsidR="00603148" w:rsidRDefault="008E4E2D" w:rsidP="008E4E2D">
      <w:pPr>
        <w:pStyle w:val="Heading1"/>
        <w:rPr>
          <w:lang w:val="en-US"/>
        </w:rPr>
      </w:pPr>
      <w:r>
        <w:rPr>
          <w:lang w:val="en-US"/>
        </w:rPr>
        <w:t>Bandwidth discussion for PBCH-IC</w:t>
      </w:r>
    </w:p>
    <w:p w:rsidR="008F557E" w:rsidRDefault="008E4E2D" w:rsidP="008E4E2D">
      <w:pPr>
        <w:rPr>
          <w:lang w:val="en-US"/>
        </w:rPr>
      </w:pPr>
      <w:r>
        <w:rPr>
          <w:lang w:val="en-US"/>
        </w:rPr>
        <w:t xml:space="preserve">The second open issue is about the bandwidth for PBCH-IC. One concern for the bandwidth of 1.44M is the difference with PBCH-IC and </w:t>
      </w:r>
      <w:r w:rsidR="009B736B">
        <w:rPr>
          <w:lang w:val="en-US"/>
        </w:rPr>
        <w:t>non-</w:t>
      </w:r>
      <w:r>
        <w:rPr>
          <w:lang w:val="en-US"/>
        </w:rPr>
        <w:t xml:space="preserve">PBCH-IC is not large enough to differentiate them. In </w:t>
      </w:r>
      <w:r w:rsidR="00B624EB">
        <w:rPr>
          <w:lang w:val="en-US"/>
        </w:rPr>
        <w:fldChar w:fldCharType="begin"/>
      </w:r>
      <w:r w:rsidR="00B624EB">
        <w:rPr>
          <w:lang w:val="en-US"/>
        </w:rPr>
        <w:instrText xml:space="preserve"> REF _Ref364082390 \h </w:instrText>
      </w:r>
      <w:r w:rsidR="00B624EB">
        <w:rPr>
          <w:lang w:val="en-US"/>
        </w:rPr>
      </w:r>
      <w:r w:rsidR="00B624EB">
        <w:rPr>
          <w:lang w:val="en-US"/>
        </w:rPr>
        <w:fldChar w:fldCharType="separate"/>
      </w:r>
      <w:r w:rsidR="00B624EB">
        <w:t xml:space="preserve">Figure </w:t>
      </w:r>
      <w:r w:rsidR="00B624EB">
        <w:rPr>
          <w:noProof/>
        </w:rPr>
        <w:t>3</w:t>
      </w:r>
      <w:r w:rsidR="00B624EB">
        <w:rPr>
          <w:lang w:val="en-US"/>
        </w:rPr>
        <w:fldChar w:fldCharType="end"/>
      </w:r>
      <w:r w:rsidR="00B624EB">
        <w:rPr>
          <w:lang w:val="en-US"/>
        </w:rPr>
        <w:t xml:space="preserve">, </w:t>
      </w:r>
      <w:r w:rsidR="00F06216">
        <w:rPr>
          <w:lang w:val="en-US"/>
        </w:rPr>
        <w:t xml:space="preserve">link level simulation results are </w:t>
      </w:r>
      <w:r w:rsidR="000E3BA5">
        <w:rPr>
          <w:lang w:val="en-US"/>
        </w:rPr>
        <w:t xml:space="preserve">presented. From </w:t>
      </w:r>
      <w:r w:rsidR="000E3BA5">
        <w:rPr>
          <w:lang w:val="en-US"/>
        </w:rPr>
        <w:fldChar w:fldCharType="begin"/>
      </w:r>
      <w:r w:rsidR="000E3BA5">
        <w:rPr>
          <w:lang w:val="en-US"/>
        </w:rPr>
        <w:instrText xml:space="preserve"> REF _Ref364082390 \h </w:instrText>
      </w:r>
      <w:r w:rsidR="000E3BA5">
        <w:rPr>
          <w:lang w:val="en-US"/>
        </w:rPr>
      </w:r>
      <w:r w:rsidR="000E3BA5">
        <w:rPr>
          <w:lang w:val="en-US"/>
        </w:rPr>
        <w:fldChar w:fldCharType="separate"/>
      </w:r>
      <w:r w:rsidR="000E3BA5">
        <w:t xml:space="preserve">Figure </w:t>
      </w:r>
      <w:r w:rsidR="000E3BA5">
        <w:rPr>
          <w:noProof/>
        </w:rPr>
        <w:t>3</w:t>
      </w:r>
      <w:r w:rsidR="000E3BA5">
        <w:rPr>
          <w:lang w:val="en-US"/>
        </w:rPr>
        <w:fldChar w:fldCharType="end"/>
      </w:r>
      <w:r w:rsidR="000E3BA5">
        <w:rPr>
          <w:lang w:val="en-US"/>
        </w:rPr>
        <w:t>, we can see that the difference between PBCH-IC and non-PBCH-IC is about 2.8 dB at 1%.</w:t>
      </w:r>
      <w:r w:rsidR="00D87DE3">
        <w:rPr>
          <w:lang w:val="en-US"/>
        </w:rPr>
        <w:t xml:space="preserve"> </w:t>
      </w:r>
      <w:r w:rsidR="0077410D">
        <w:rPr>
          <w:lang w:val="en-US"/>
        </w:rPr>
        <w:t xml:space="preserve"> For link level, 2.8 dB is large enough to differentiate two receivers. </w:t>
      </w:r>
    </w:p>
    <w:p w:rsidR="00D87DE3" w:rsidRDefault="008F557E" w:rsidP="008E4E2D">
      <w:pPr>
        <w:rPr>
          <w:lang w:val="en-US"/>
        </w:rPr>
      </w:pPr>
      <w:r>
        <w:rPr>
          <w:lang w:val="en-US"/>
        </w:rPr>
        <w:t>Even with 10MHz, different implementation will obtain different performance gain. For example, f</w:t>
      </w:r>
      <w:r w:rsidR="00D87DE3">
        <w:rPr>
          <w:lang w:val="en-US"/>
        </w:rPr>
        <w:t xml:space="preserve">or 10MHz, there </w:t>
      </w:r>
      <w:r w:rsidR="00A83D25">
        <w:rPr>
          <w:lang w:val="en-US"/>
        </w:rPr>
        <w:t>are</w:t>
      </w:r>
      <w:r w:rsidR="00D87DE3">
        <w:rPr>
          <w:lang w:val="en-US"/>
        </w:rPr>
        <w:t xml:space="preserve"> two possible solutions</w:t>
      </w:r>
      <w:r>
        <w:rPr>
          <w:lang w:val="en-US"/>
        </w:rPr>
        <w:t xml:space="preserve"> to handle PBCH</w:t>
      </w:r>
      <w:r w:rsidR="00D87DE3">
        <w:rPr>
          <w:lang w:val="en-US"/>
        </w:rPr>
        <w:t>:</w:t>
      </w:r>
    </w:p>
    <w:p w:rsidR="00D87DE3" w:rsidRDefault="00D87DE3" w:rsidP="00D87DE3">
      <w:pPr>
        <w:pStyle w:val="ListParagraph"/>
        <w:numPr>
          <w:ilvl w:val="0"/>
          <w:numId w:val="50"/>
        </w:numPr>
        <w:rPr>
          <w:lang w:val="en-US"/>
        </w:rPr>
      </w:pPr>
      <w:r w:rsidRPr="00D87DE3">
        <w:rPr>
          <w:b/>
          <w:lang w:val="en-US"/>
        </w:rPr>
        <w:t>Solution 1</w:t>
      </w:r>
      <w:r w:rsidRPr="00D87DE3">
        <w:rPr>
          <w:lang w:val="en-US"/>
        </w:rPr>
        <w:t>: Only</w:t>
      </w:r>
      <w:r>
        <w:rPr>
          <w:lang w:val="en-US"/>
        </w:rPr>
        <w:t xml:space="preserve"> central</w:t>
      </w:r>
      <w:r w:rsidR="00190C9F">
        <w:rPr>
          <w:lang w:val="en-US"/>
        </w:rPr>
        <w:t xml:space="preserve"> s</w:t>
      </w:r>
      <w:r w:rsidRPr="00D87DE3">
        <w:rPr>
          <w:lang w:val="en-US"/>
        </w:rPr>
        <w:t xml:space="preserve">ix PRBs are used for PBCH handling. </w:t>
      </w:r>
    </w:p>
    <w:p w:rsidR="00D87DE3" w:rsidRPr="00D87DE3" w:rsidRDefault="00D87DE3" w:rsidP="00D87DE3">
      <w:pPr>
        <w:pStyle w:val="ListParagraph"/>
        <w:numPr>
          <w:ilvl w:val="0"/>
          <w:numId w:val="50"/>
        </w:numPr>
        <w:rPr>
          <w:lang w:val="en-US"/>
        </w:rPr>
      </w:pPr>
      <w:r w:rsidRPr="00D87DE3">
        <w:rPr>
          <w:b/>
          <w:lang w:val="en-US"/>
        </w:rPr>
        <w:t>Solution 2</w:t>
      </w:r>
      <w:r>
        <w:rPr>
          <w:lang w:val="en-US"/>
        </w:rPr>
        <w:t xml:space="preserve">: CRS in whole bandwidth is employed for PBCH performance enhancement. </w:t>
      </w:r>
    </w:p>
    <w:p w:rsidR="00D87DE3" w:rsidRDefault="00D87DE3" w:rsidP="008E4E2D">
      <w:pPr>
        <w:rPr>
          <w:lang w:val="en-US"/>
        </w:rPr>
      </w:pPr>
      <w:r>
        <w:rPr>
          <w:lang w:val="en-US"/>
        </w:rPr>
        <w:lastRenderedPageBreak/>
        <w:t xml:space="preserve">If solution 1 is employed, the </w:t>
      </w:r>
      <w:r w:rsidR="00544B52" w:rsidRPr="00544B52">
        <w:rPr>
          <w:b/>
          <w:lang w:val="en-US"/>
        </w:rPr>
        <w:t>SAME</w:t>
      </w:r>
      <w:r>
        <w:rPr>
          <w:lang w:val="en-US"/>
        </w:rPr>
        <w:t xml:space="preserve"> performance as 1.44M will be expected. This solution is widely implemented in current product. If and only if solution 2 is employed, we can get much better PBCH-IC performance and enlarge the gap between the PBCH-IC and non-PBCH-IC.</w:t>
      </w:r>
      <w:r w:rsidR="00F3090A">
        <w:rPr>
          <w:lang w:val="en-US"/>
        </w:rPr>
        <w:t xml:space="preserve"> For solution 2, the CRS in whole bandwidth can be used to improve channel estimation both for serving cells and aggressor cells. Therefore, the PBCH-IC performance can be improved. </w:t>
      </w:r>
      <w:r>
        <w:rPr>
          <w:lang w:val="en-US"/>
        </w:rPr>
        <w:t xml:space="preserve">However, RAN4 cannot mandate any specific implementation. RAN4 shall focus on the minimum performance requirements. </w:t>
      </w:r>
    </w:p>
    <w:p w:rsidR="008E4E2D" w:rsidRDefault="008E4E2D" w:rsidP="008E4E2D">
      <w:pPr>
        <w:keepNext/>
        <w:jc w:val="center"/>
      </w:pPr>
      <w:r>
        <w:rPr>
          <w:noProof/>
          <w:lang w:val="en-US"/>
        </w:rPr>
        <w:drawing>
          <wp:inline distT="0" distB="0" distL="0" distR="0" wp14:anchorId="451E48CD" wp14:editId="35DBB8E4">
            <wp:extent cx="5279666" cy="33211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2144" cy="3322708"/>
                    </a:xfrm>
                    <a:prstGeom prst="rect">
                      <a:avLst/>
                    </a:prstGeom>
                    <a:noFill/>
                    <a:ln>
                      <a:noFill/>
                    </a:ln>
                  </pic:spPr>
                </pic:pic>
              </a:graphicData>
            </a:graphic>
          </wp:inline>
        </w:drawing>
      </w:r>
    </w:p>
    <w:p w:rsidR="008E4E2D" w:rsidRPr="008E4E2D" w:rsidRDefault="008E4E2D" w:rsidP="008E4E2D">
      <w:pPr>
        <w:pStyle w:val="Caption"/>
        <w:rPr>
          <w:lang w:val="en-US"/>
        </w:rPr>
      </w:pPr>
      <w:bookmarkStart w:id="8" w:name="_Ref364082390"/>
      <w:r>
        <w:t xml:space="preserve">Figure </w:t>
      </w:r>
      <w:r>
        <w:fldChar w:fldCharType="begin"/>
      </w:r>
      <w:r>
        <w:instrText xml:space="preserve"> SEQ Figure \* ARABIC </w:instrText>
      </w:r>
      <w:r>
        <w:fldChar w:fldCharType="separate"/>
      </w:r>
      <w:r>
        <w:rPr>
          <w:noProof/>
        </w:rPr>
        <w:t>3</w:t>
      </w:r>
      <w:r>
        <w:fldChar w:fldCharType="end"/>
      </w:r>
      <w:bookmarkEnd w:id="8"/>
      <w:r>
        <w:t>: PBCH performance for 1.44MHz</w:t>
      </w:r>
    </w:p>
    <w:p w:rsidR="0050648D" w:rsidRPr="0050648D" w:rsidRDefault="0050648D" w:rsidP="0050648D">
      <w:pPr>
        <w:pStyle w:val="Caption"/>
        <w:jc w:val="both"/>
        <w:rPr>
          <w:i/>
          <w:lang w:val="en-US"/>
        </w:rPr>
      </w:pPr>
      <w:r w:rsidRPr="0050648D">
        <w:rPr>
          <w:i/>
          <w:lang w:val="en-US"/>
        </w:rPr>
        <w:t xml:space="preserve">Proposal 2: 1.44MHz is preferred as the bandwidth setup for PBCH-IC. </w:t>
      </w:r>
    </w:p>
    <w:p w:rsidR="000D38E1" w:rsidRDefault="000D38E1" w:rsidP="000D38E1">
      <w:pPr>
        <w:pStyle w:val="Heading1"/>
        <w:rPr>
          <w:rFonts w:eastAsia="Malgun Gothic"/>
          <w:lang w:eastAsia="ko-KR"/>
        </w:rPr>
      </w:pPr>
      <w:r>
        <w:rPr>
          <w:rFonts w:eastAsia="Malgun Gothic"/>
          <w:lang w:eastAsia="ko-KR"/>
        </w:rPr>
        <w:t>Conclusion</w:t>
      </w:r>
    </w:p>
    <w:p w:rsidR="0050648D" w:rsidRDefault="0050648D" w:rsidP="0050648D">
      <w:pPr>
        <w:rPr>
          <w:rFonts w:eastAsia="Malgun Gothic"/>
          <w:lang w:eastAsia="ko-KR"/>
        </w:rPr>
      </w:pPr>
      <w:r>
        <w:rPr>
          <w:rFonts w:eastAsia="Malgun Gothic"/>
          <w:lang w:eastAsia="ko-KR"/>
        </w:rPr>
        <w:t>In this paper, we provide our view for the test setup for high SNR test and bandwidth setup for PBCH-IC. We propose:</w:t>
      </w:r>
    </w:p>
    <w:p w:rsidR="0050648D" w:rsidRDefault="0050648D" w:rsidP="0050648D">
      <w:pPr>
        <w:pStyle w:val="Caption"/>
        <w:jc w:val="both"/>
        <w:rPr>
          <w:i/>
          <w:lang w:val="en-US"/>
        </w:rPr>
      </w:pPr>
      <w:r w:rsidRPr="008E4E2D">
        <w:rPr>
          <w:i/>
          <w:lang w:val="en-US"/>
        </w:rPr>
        <w:t>Proposal 1:</w:t>
      </w:r>
      <w:r>
        <w:rPr>
          <w:i/>
          <w:lang w:val="en-US"/>
        </w:rPr>
        <w:t xml:space="preserve"> Option 2 is preferred as the setup for high SNR test</w:t>
      </w:r>
    </w:p>
    <w:p w:rsidR="0050648D" w:rsidRPr="0050648D" w:rsidRDefault="0050648D" w:rsidP="0050648D">
      <w:pPr>
        <w:pStyle w:val="Caption"/>
        <w:jc w:val="both"/>
        <w:rPr>
          <w:i/>
          <w:lang w:val="en-US"/>
        </w:rPr>
      </w:pPr>
      <w:r w:rsidRPr="0050648D">
        <w:rPr>
          <w:i/>
          <w:lang w:val="en-US"/>
        </w:rPr>
        <w:t xml:space="preserve">Proposal 2: 1.44MHz is preferred as the bandwidth setup for PBCH-IC. </w:t>
      </w:r>
    </w:p>
    <w:p w:rsidR="00F362FF" w:rsidRDefault="00F362FF" w:rsidP="00F362FF">
      <w:pPr>
        <w:pStyle w:val="Heading1"/>
        <w:rPr>
          <w:rFonts w:eastAsia="Malgun Gothic"/>
          <w:lang w:eastAsia="ko-KR"/>
        </w:rPr>
      </w:pPr>
      <w:r>
        <w:rPr>
          <w:rFonts w:eastAsia="Malgun Gothic"/>
          <w:lang w:eastAsia="ko-KR"/>
        </w:rPr>
        <w:lastRenderedPageBreak/>
        <w:t>Appendix A</w:t>
      </w:r>
    </w:p>
    <w:p w:rsidR="00DD5DC1" w:rsidRDefault="00DD5DC1" w:rsidP="00DD5DC1">
      <w:pPr>
        <w:keepNext/>
        <w:keepLines/>
        <w:spacing w:before="60"/>
        <w:jc w:val="center"/>
      </w:pPr>
      <w:bookmarkStart w:id="9" w:name="_Ref364079743"/>
      <w:r w:rsidRPr="00DD5DC1">
        <w:rPr>
          <w:rFonts w:ascii="Arial" w:hAnsi="Arial"/>
          <w:b/>
          <w:lang w:eastAsia="ko-KR"/>
        </w:rPr>
        <w:t xml:space="preserve">Table </w:t>
      </w:r>
      <w:r w:rsidRPr="00DD5DC1">
        <w:rPr>
          <w:rFonts w:ascii="Arial" w:hAnsi="Arial"/>
          <w:b/>
          <w:lang w:eastAsia="ko-KR"/>
        </w:rPr>
        <w:fldChar w:fldCharType="begin"/>
      </w:r>
      <w:r w:rsidRPr="00DD5DC1">
        <w:rPr>
          <w:rFonts w:ascii="Arial" w:hAnsi="Arial"/>
          <w:b/>
          <w:lang w:eastAsia="ko-KR"/>
        </w:rPr>
        <w:instrText xml:space="preserve"> SEQ Table \* ARABIC </w:instrText>
      </w:r>
      <w:r w:rsidRPr="00DD5DC1">
        <w:rPr>
          <w:rFonts w:ascii="Arial" w:hAnsi="Arial"/>
          <w:b/>
          <w:lang w:eastAsia="ko-KR"/>
        </w:rPr>
        <w:fldChar w:fldCharType="separate"/>
      </w:r>
      <w:r w:rsidRPr="00DD5DC1">
        <w:rPr>
          <w:rFonts w:ascii="Arial" w:hAnsi="Arial"/>
          <w:b/>
          <w:lang w:eastAsia="ko-KR"/>
        </w:rPr>
        <w:t>1</w:t>
      </w:r>
      <w:r w:rsidRPr="00DD5DC1">
        <w:rPr>
          <w:rFonts w:ascii="Arial" w:hAnsi="Arial"/>
          <w:b/>
          <w:lang w:eastAsia="ko-KR"/>
        </w:rPr>
        <w:fldChar w:fldCharType="end"/>
      </w:r>
      <w:bookmarkEnd w:id="9"/>
      <w:r w:rsidRPr="00DD5DC1">
        <w:rPr>
          <w:rFonts w:ascii="Arial" w:hAnsi="Arial"/>
          <w:b/>
          <w:lang w:eastAsia="ko-KR"/>
        </w:rPr>
        <w:t>:</w:t>
      </w:r>
      <w:r>
        <w:t xml:space="preserve"> </w:t>
      </w:r>
      <w:r>
        <w:rPr>
          <w:rFonts w:ascii="Arial" w:hAnsi="Arial"/>
          <w:b/>
          <w:lang w:eastAsia="ko-KR"/>
        </w:rPr>
        <w:t>Simulation parameters for TM3</w:t>
      </w:r>
    </w:p>
    <w:tbl>
      <w:tblPr>
        <w:tblW w:w="8516" w:type="dxa"/>
        <w:jc w:val="center"/>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974"/>
        <w:gridCol w:w="1279"/>
        <w:gridCol w:w="1831"/>
        <w:gridCol w:w="11"/>
        <w:gridCol w:w="1277"/>
        <w:gridCol w:w="1275"/>
      </w:tblGrid>
      <w:tr w:rsidR="00F362FF" w:rsidRPr="005A726F" w:rsidTr="00DD5DC1">
        <w:trPr>
          <w:cantSplit/>
          <w:trHeight w:val="201"/>
          <w:jc w:val="center"/>
        </w:trPr>
        <w:tc>
          <w:tcPr>
            <w:tcW w:w="2843" w:type="dxa"/>
            <w:gridSpan w:val="2"/>
          </w:tcPr>
          <w:p w:rsidR="00F362FF" w:rsidRPr="005A726F" w:rsidRDefault="00F362FF" w:rsidP="00DD39AB">
            <w:pPr>
              <w:keepNext/>
              <w:keepLines/>
              <w:spacing w:after="0"/>
              <w:jc w:val="center"/>
              <w:rPr>
                <w:rFonts w:ascii="Arial" w:eastAsia="?? ??" w:hAnsi="Arial"/>
                <w:b/>
                <w:sz w:val="18"/>
                <w:lang w:eastAsia="ko-KR"/>
              </w:rPr>
            </w:pPr>
            <w:r w:rsidRPr="005A726F">
              <w:rPr>
                <w:rFonts w:ascii="Arial" w:eastAsia="?? ??" w:hAnsi="Arial"/>
                <w:b/>
                <w:sz w:val="18"/>
                <w:lang w:eastAsia="ko-KR"/>
              </w:rPr>
              <w:t>Parameter</w:t>
            </w:r>
          </w:p>
        </w:tc>
        <w:tc>
          <w:tcPr>
            <w:tcW w:w="1279" w:type="dxa"/>
          </w:tcPr>
          <w:p w:rsidR="00F362FF" w:rsidRPr="005A726F" w:rsidRDefault="00F362FF" w:rsidP="00DD39AB">
            <w:pPr>
              <w:keepNext/>
              <w:keepLines/>
              <w:spacing w:after="0"/>
              <w:jc w:val="center"/>
              <w:rPr>
                <w:rFonts w:ascii="Arial" w:eastAsia="?? ??" w:hAnsi="Arial"/>
                <w:b/>
                <w:sz w:val="18"/>
                <w:lang w:eastAsia="ko-KR"/>
              </w:rPr>
            </w:pPr>
            <w:r w:rsidRPr="005A726F">
              <w:rPr>
                <w:rFonts w:ascii="Arial" w:eastAsia="?? ??" w:hAnsi="Arial"/>
                <w:b/>
                <w:sz w:val="18"/>
                <w:lang w:eastAsia="ko-KR"/>
              </w:rPr>
              <w:t>Unit</w:t>
            </w:r>
          </w:p>
        </w:tc>
        <w:tc>
          <w:tcPr>
            <w:tcW w:w="1831" w:type="dxa"/>
          </w:tcPr>
          <w:p w:rsidR="00F362FF" w:rsidRPr="005A726F" w:rsidRDefault="00F362FF" w:rsidP="00DD39AB">
            <w:pPr>
              <w:keepNext/>
              <w:keepLines/>
              <w:spacing w:after="0"/>
              <w:jc w:val="center"/>
              <w:rPr>
                <w:rFonts w:ascii="Arial" w:hAnsi="Arial"/>
                <w:b/>
                <w:sz w:val="18"/>
              </w:rPr>
            </w:pPr>
            <w:r w:rsidRPr="005A726F">
              <w:rPr>
                <w:rFonts w:ascii="Arial" w:hAnsi="Arial" w:hint="eastAsia"/>
                <w:b/>
                <w:sz w:val="18"/>
              </w:rPr>
              <w:t>Cell 1</w:t>
            </w:r>
          </w:p>
        </w:tc>
        <w:tc>
          <w:tcPr>
            <w:tcW w:w="1288" w:type="dxa"/>
            <w:gridSpan w:val="2"/>
          </w:tcPr>
          <w:p w:rsidR="00F362FF" w:rsidRPr="005A726F" w:rsidRDefault="00F362FF" w:rsidP="00DD39AB">
            <w:pPr>
              <w:keepNext/>
              <w:keepLines/>
              <w:spacing w:after="0"/>
              <w:jc w:val="center"/>
              <w:rPr>
                <w:rFonts w:ascii="Arial" w:hAnsi="Arial"/>
                <w:b/>
                <w:sz w:val="18"/>
              </w:rPr>
            </w:pPr>
            <w:r w:rsidRPr="005A726F">
              <w:rPr>
                <w:rFonts w:ascii="Arial" w:hAnsi="Arial" w:hint="eastAsia"/>
                <w:b/>
                <w:sz w:val="18"/>
              </w:rPr>
              <w:t>Cell 2</w:t>
            </w:r>
          </w:p>
        </w:tc>
        <w:tc>
          <w:tcPr>
            <w:tcW w:w="1275" w:type="dxa"/>
          </w:tcPr>
          <w:p w:rsidR="00F362FF" w:rsidRPr="005A726F" w:rsidDel="00F92D5B" w:rsidRDefault="00F362FF" w:rsidP="00DD39AB">
            <w:pPr>
              <w:keepNext/>
              <w:keepLines/>
              <w:spacing w:after="0"/>
              <w:jc w:val="center"/>
              <w:rPr>
                <w:rFonts w:ascii="Arial" w:hAnsi="Arial"/>
                <w:b/>
                <w:sz w:val="18"/>
              </w:rPr>
            </w:pPr>
            <w:r>
              <w:rPr>
                <w:rFonts w:ascii="Arial" w:hAnsi="Arial" w:hint="eastAsia"/>
                <w:b/>
                <w:sz w:val="18"/>
              </w:rPr>
              <w:t>Cell 3</w:t>
            </w:r>
          </w:p>
        </w:tc>
      </w:tr>
      <w:tr w:rsidR="00F362FF" w:rsidRPr="005A726F" w:rsidTr="00DD5DC1">
        <w:trPr>
          <w:cantSplit/>
          <w:trHeight w:val="354"/>
          <w:jc w:val="center"/>
        </w:trPr>
        <w:tc>
          <w:tcPr>
            <w:tcW w:w="1869" w:type="dxa"/>
            <w:vMerge w:val="restart"/>
            <w:vAlign w:val="center"/>
          </w:tcPr>
          <w:p w:rsidR="00F362FF" w:rsidRPr="005A726F" w:rsidRDefault="00F362FF" w:rsidP="00DD39AB">
            <w:pPr>
              <w:keepNext/>
              <w:keepLines/>
              <w:spacing w:after="0"/>
              <w:jc w:val="center"/>
              <w:rPr>
                <w:rFonts w:ascii="Arial" w:hAnsi="Arial"/>
                <w:sz w:val="18"/>
                <w:lang w:eastAsia="ko-KR"/>
              </w:rPr>
            </w:pPr>
            <w:r w:rsidRPr="005A726F">
              <w:rPr>
                <w:rFonts w:ascii="Arial" w:hAnsi="Arial"/>
                <w:sz w:val="18"/>
                <w:lang w:eastAsia="ko-KR"/>
              </w:rPr>
              <w:t>Downlink power allocation</w:t>
            </w: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0"/>
                <w:sz w:val="18"/>
                <w:lang w:val="en-US"/>
              </w:rPr>
              <w:drawing>
                <wp:inline distT="0" distB="0" distL="0" distR="0" wp14:anchorId="7CA1FDA6" wp14:editId="6D8CC3E3">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w:t>
            </w: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-3</w:t>
            </w:r>
          </w:p>
        </w:tc>
        <w:tc>
          <w:tcPr>
            <w:tcW w:w="1277"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hAnsi="Arial" w:hint="eastAsia"/>
                <w:sz w:val="18"/>
              </w:rPr>
              <w:t>-3</w:t>
            </w:r>
          </w:p>
        </w:tc>
        <w:tc>
          <w:tcPr>
            <w:tcW w:w="1275"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-3</w:t>
            </w:r>
          </w:p>
        </w:tc>
      </w:tr>
      <w:tr w:rsidR="00F362FF" w:rsidRPr="005A726F" w:rsidTr="00DD5DC1">
        <w:trPr>
          <w:cantSplit/>
          <w:trHeight w:val="354"/>
          <w:jc w:val="center"/>
        </w:trPr>
        <w:tc>
          <w:tcPr>
            <w:tcW w:w="1869" w:type="dxa"/>
            <w:vMerge/>
            <w:vAlign w:val="center"/>
          </w:tcPr>
          <w:p w:rsidR="00F362FF" w:rsidRPr="005A726F" w:rsidRDefault="00F362FF" w:rsidP="00DD39AB">
            <w:pPr>
              <w:keepNext/>
              <w:keepLines/>
              <w:spacing w:after="0"/>
              <w:jc w:val="center"/>
              <w:rPr>
                <w:rFonts w:ascii="Arial" w:hAnsi="Arial"/>
                <w:sz w:val="18"/>
                <w:lang w:eastAsia="ko-KR"/>
              </w:rPr>
            </w:pP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0"/>
                <w:sz w:val="18"/>
                <w:lang w:val="en-US"/>
              </w:rPr>
              <w:drawing>
                <wp:inline distT="0" distB="0" distL="0" distR="0" wp14:anchorId="070D1B04" wp14:editId="1CD21124">
                  <wp:extent cx="1746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w:t>
            </w: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-3 (Note 1)</w:t>
            </w:r>
          </w:p>
        </w:tc>
        <w:tc>
          <w:tcPr>
            <w:tcW w:w="1277"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hAnsi="Arial" w:hint="eastAsia"/>
                <w:sz w:val="18"/>
              </w:rPr>
              <w:t>-3</w:t>
            </w:r>
            <w:r>
              <w:rPr>
                <w:rFonts w:ascii="Arial" w:hAnsi="Arial" w:hint="eastAsia"/>
                <w:sz w:val="18"/>
              </w:rPr>
              <w:t xml:space="preserve"> (Note 1)</w:t>
            </w:r>
          </w:p>
        </w:tc>
        <w:tc>
          <w:tcPr>
            <w:tcW w:w="1275"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-3</w:t>
            </w:r>
            <w:r>
              <w:rPr>
                <w:rFonts w:ascii="Arial" w:hAnsi="Arial" w:hint="eastAsia"/>
                <w:sz w:val="18"/>
              </w:rPr>
              <w:t xml:space="preserve"> (Note 1)</w:t>
            </w:r>
          </w:p>
        </w:tc>
      </w:tr>
      <w:tr w:rsidR="00F362FF" w:rsidRPr="005A726F" w:rsidTr="00DD5DC1">
        <w:trPr>
          <w:cantSplit/>
          <w:trHeight w:val="354"/>
          <w:jc w:val="center"/>
        </w:trPr>
        <w:tc>
          <w:tcPr>
            <w:tcW w:w="1869" w:type="dxa"/>
            <w:vMerge/>
            <w:vAlign w:val="center"/>
          </w:tcPr>
          <w:p w:rsidR="00F362FF" w:rsidRPr="005A726F" w:rsidRDefault="00F362FF" w:rsidP="00DD39AB">
            <w:pPr>
              <w:keepNext/>
              <w:keepLines/>
              <w:spacing w:after="0"/>
              <w:jc w:val="center"/>
              <w:rPr>
                <w:rFonts w:ascii="Arial" w:hAnsi="Arial"/>
                <w:sz w:val="18"/>
                <w:lang w:eastAsia="ko-KR"/>
              </w:rPr>
            </w:pP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5A726F">
              <w:rPr>
                <w:rFonts w:ascii="Arial" w:hAnsi="Arial"/>
                <w:sz w:val="18"/>
                <w:lang w:eastAsia="ja-JP"/>
              </w:rPr>
              <w:sym w:font="Symbol" w:char="F073"/>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w:t>
            </w: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0</w:t>
            </w:r>
          </w:p>
        </w:tc>
        <w:tc>
          <w:tcPr>
            <w:tcW w:w="1277"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sz w:val="18"/>
              </w:rPr>
              <w:t>N/A</w:t>
            </w:r>
          </w:p>
        </w:tc>
        <w:tc>
          <w:tcPr>
            <w:tcW w:w="1275"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sz w:val="18"/>
              </w:rPr>
              <w:t>N/A</w:t>
            </w:r>
          </w:p>
        </w:tc>
      </w:tr>
      <w:tr w:rsidR="00F362FF" w:rsidRPr="005A726F" w:rsidTr="00DD5DC1">
        <w:trPr>
          <w:cantSplit/>
          <w:trHeight w:val="157"/>
          <w:jc w:val="center"/>
        </w:trPr>
        <w:tc>
          <w:tcPr>
            <w:tcW w:w="1869" w:type="dxa"/>
            <w:vMerge w:val="restart"/>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0"/>
                <w:sz w:val="18"/>
                <w:lang w:val="en-US"/>
              </w:rPr>
              <w:drawing>
                <wp:inline distT="0" distB="0" distL="0" distR="0" wp14:anchorId="6F563B28" wp14:editId="5A2857EE">
                  <wp:extent cx="238760" cy="182880"/>
                  <wp:effectExtent l="0" t="0" r="889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182880"/>
                          </a:xfrm>
                          <a:prstGeom prst="rect">
                            <a:avLst/>
                          </a:prstGeom>
                          <a:noFill/>
                          <a:ln>
                            <a:noFill/>
                          </a:ln>
                        </pic:spPr>
                      </pic:pic>
                    </a:graphicData>
                  </a:graphic>
                </wp:inline>
              </w:drawing>
            </w:r>
            <w:r w:rsidRPr="005A726F">
              <w:rPr>
                <w:rFonts w:ascii="Arial" w:hAnsi="Arial"/>
                <w:sz w:val="18"/>
                <w:lang w:eastAsia="ko-KR"/>
              </w:rPr>
              <w:t>at antenna port</w:t>
            </w: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0"/>
                <w:sz w:val="18"/>
                <w:lang w:val="en-US"/>
              </w:rPr>
              <w:drawing>
                <wp:inline distT="0" distB="0" distL="0" distR="0" wp14:anchorId="2C27B8CE" wp14:editId="0AE98E48">
                  <wp:extent cx="262255" cy="182880"/>
                  <wp:effectExtent l="0" t="0" r="444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55" cy="182880"/>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dBm/15kHz</w:t>
            </w: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Pr>
                <w:rFonts w:ascii="Arial" w:hAnsi="Arial" w:hint="eastAsia"/>
                <w:sz w:val="18"/>
              </w:rPr>
              <w:t>[</w:t>
            </w:r>
            <w:r w:rsidRPr="005A726F">
              <w:rPr>
                <w:rFonts w:ascii="Arial" w:hAnsi="Arial" w:hint="eastAsia"/>
                <w:sz w:val="18"/>
              </w:rPr>
              <w:t>-</w:t>
            </w:r>
            <w:r>
              <w:rPr>
                <w:rFonts w:ascii="Arial" w:hAnsi="Arial" w:hint="eastAsia"/>
                <w:sz w:val="18"/>
              </w:rPr>
              <w:t>98]</w:t>
            </w:r>
            <w:r w:rsidRPr="005A726F">
              <w:rPr>
                <w:rFonts w:ascii="Arial" w:eastAsia="?? ??" w:hAnsi="Arial"/>
                <w:sz w:val="18"/>
                <w:lang w:eastAsia="ko-KR"/>
              </w:rPr>
              <w:t xml:space="preserve"> (Note 2)</w:t>
            </w:r>
          </w:p>
        </w:tc>
        <w:tc>
          <w:tcPr>
            <w:tcW w:w="1277"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hAnsi="Arial" w:hint="eastAsia"/>
                <w:sz w:val="18"/>
              </w:rPr>
              <w:t>N/A</w:t>
            </w:r>
          </w:p>
        </w:tc>
        <w:tc>
          <w:tcPr>
            <w:tcW w:w="1275" w:type="dxa"/>
            <w:vAlign w:val="center"/>
          </w:tcPr>
          <w:p w:rsidR="00F362FF" w:rsidRPr="005A726F" w:rsidRDefault="00F362FF" w:rsidP="00DD39AB">
            <w:pPr>
              <w:keepNext/>
              <w:keepLines/>
              <w:spacing w:after="0"/>
              <w:jc w:val="center"/>
              <w:rPr>
                <w:rFonts w:ascii="Arial" w:hAnsi="Arial"/>
                <w:sz w:val="18"/>
              </w:rPr>
            </w:pPr>
            <w:r>
              <w:rPr>
                <w:rFonts w:ascii="Arial" w:hAnsi="Arial" w:hint="eastAsia"/>
                <w:sz w:val="18"/>
              </w:rPr>
              <w:t>N/A</w:t>
            </w:r>
          </w:p>
        </w:tc>
      </w:tr>
      <w:tr w:rsidR="00F362FF" w:rsidRPr="005A726F" w:rsidTr="00DD5DC1">
        <w:trPr>
          <w:cantSplit/>
          <w:trHeight w:val="157"/>
          <w:jc w:val="center"/>
        </w:trPr>
        <w:tc>
          <w:tcPr>
            <w:tcW w:w="1869" w:type="dxa"/>
            <w:vMerge/>
            <w:vAlign w:val="center"/>
          </w:tcPr>
          <w:p w:rsidR="00F362FF" w:rsidRPr="005A726F" w:rsidRDefault="00F362FF" w:rsidP="00DD39AB">
            <w:pPr>
              <w:keepNext/>
              <w:keepLines/>
              <w:spacing w:after="0"/>
              <w:jc w:val="center"/>
              <w:rPr>
                <w:rFonts w:ascii="Arial" w:hAnsi="Arial"/>
                <w:sz w:val="18"/>
                <w:lang w:eastAsia="ko-KR"/>
              </w:rPr>
            </w:pP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0"/>
                <w:sz w:val="18"/>
                <w:lang w:val="en-US"/>
              </w:rPr>
              <w:drawing>
                <wp:inline distT="0" distB="0" distL="0" distR="0" wp14:anchorId="1ACF9371" wp14:editId="285828C6">
                  <wp:extent cx="286385"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dBm/15kHz</w:t>
            </w: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Pr>
                <w:rFonts w:ascii="Arial" w:hAnsi="Arial" w:hint="eastAsia"/>
                <w:sz w:val="18"/>
              </w:rPr>
              <w:t>[</w:t>
            </w:r>
            <w:r w:rsidRPr="005A726F">
              <w:rPr>
                <w:rFonts w:ascii="Arial" w:hAnsi="Arial" w:hint="eastAsia"/>
                <w:sz w:val="18"/>
              </w:rPr>
              <w:t>-98</w:t>
            </w:r>
            <w:r>
              <w:rPr>
                <w:rFonts w:ascii="Arial" w:hAnsi="Arial" w:hint="eastAsia"/>
                <w:sz w:val="18"/>
              </w:rPr>
              <w:t>]</w:t>
            </w:r>
            <w:r w:rsidRPr="005A726F">
              <w:rPr>
                <w:rFonts w:ascii="Arial" w:eastAsia="?? ??" w:hAnsi="Arial"/>
                <w:sz w:val="18"/>
                <w:lang w:eastAsia="ko-KR"/>
              </w:rPr>
              <w:t xml:space="preserve"> (Note 3)</w:t>
            </w:r>
          </w:p>
        </w:tc>
        <w:tc>
          <w:tcPr>
            <w:tcW w:w="1277" w:type="dxa"/>
            <w:vAlign w:val="center"/>
          </w:tcPr>
          <w:p w:rsidR="00F362FF" w:rsidRPr="005A726F" w:rsidDel="00EF5167" w:rsidRDefault="00F362FF" w:rsidP="00DD39AB">
            <w:pPr>
              <w:keepNext/>
              <w:keepLines/>
              <w:spacing w:after="0"/>
              <w:jc w:val="center"/>
              <w:rPr>
                <w:rFonts w:ascii="Arial" w:eastAsia="?? ??" w:hAnsi="Arial"/>
                <w:sz w:val="18"/>
                <w:lang w:eastAsia="ko-KR"/>
              </w:rPr>
            </w:pPr>
            <w:r w:rsidRPr="005A726F">
              <w:rPr>
                <w:rFonts w:ascii="Arial" w:hAnsi="Arial" w:hint="eastAsia"/>
                <w:sz w:val="18"/>
              </w:rPr>
              <w:t>N/A</w:t>
            </w:r>
          </w:p>
        </w:tc>
        <w:tc>
          <w:tcPr>
            <w:tcW w:w="1275" w:type="dxa"/>
            <w:vAlign w:val="center"/>
          </w:tcPr>
          <w:p w:rsidR="00F362FF" w:rsidRPr="005A726F" w:rsidRDefault="00F362FF" w:rsidP="00DD39AB">
            <w:pPr>
              <w:keepNext/>
              <w:keepLines/>
              <w:spacing w:after="0"/>
              <w:jc w:val="center"/>
              <w:rPr>
                <w:rFonts w:ascii="Arial" w:hAnsi="Arial"/>
                <w:sz w:val="18"/>
              </w:rPr>
            </w:pPr>
            <w:r>
              <w:rPr>
                <w:rFonts w:ascii="Arial" w:hAnsi="Arial" w:hint="eastAsia"/>
                <w:sz w:val="18"/>
              </w:rPr>
              <w:t>N/A</w:t>
            </w:r>
          </w:p>
        </w:tc>
      </w:tr>
      <w:tr w:rsidR="00F362FF" w:rsidRPr="005A726F" w:rsidTr="00DD5DC1">
        <w:trPr>
          <w:cantSplit/>
          <w:trHeight w:val="157"/>
          <w:jc w:val="center"/>
        </w:trPr>
        <w:tc>
          <w:tcPr>
            <w:tcW w:w="1869" w:type="dxa"/>
            <w:vMerge/>
            <w:vAlign w:val="center"/>
          </w:tcPr>
          <w:p w:rsidR="00F362FF" w:rsidRPr="005A726F" w:rsidRDefault="00F362FF" w:rsidP="00DD39AB">
            <w:pPr>
              <w:keepNext/>
              <w:keepLines/>
              <w:spacing w:after="0"/>
              <w:jc w:val="center"/>
              <w:rPr>
                <w:rFonts w:ascii="Arial" w:hAnsi="Arial"/>
                <w:sz w:val="18"/>
                <w:lang w:eastAsia="ko-KR"/>
              </w:rPr>
            </w:pPr>
          </w:p>
        </w:tc>
        <w:tc>
          <w:tcPr>
            <w:tcW w:w="974" w:type="dxa"/>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2"/>
                <w:sz w:val="18"/>
                <w:lang w:val="en-US"/>
              </w:rPr>
              <w:drawing>
                <wp:inline distT="0" distB="0" distL="0" distR="0" wp14:anchorId="4798C3BB" wp14:editId="4A99C456">
                  <wp:extent cx="294005" cy="2228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dBm/15kHz</w:t>
            </w:r>
          </w:p>
        </w:tc>
        <w:tc>
          <w:tcPr>
            <w:tcW w:w="1842" w:type="dxa"/>
            <w:gridSpan w:val="2"/>
            <w:vAlign w:val="center"/>
          </w:tcPr>
          <w:p w:rsidR="00F362FF" w:rsidRPr="005A726F" w:rsidRDefault="00F362FF" w:rsidP="00DD39AB">
            <w:pPr>
              <w:keepNext/>
              <w:keepLines/>
              <w:spacing w:after="0"/>
              <w:jc w:val="center"/>
              <w:rPr>
                <w:rFonts w:ascii="Arial" w:hAnsi="Arial"/>
                <w:sz w:val="18"/>
              </w:rPr>
            </w:pPr>
            <w:r>
              <w:rPr>
                <w:rFonts w:ascii="Arial" w:hAnsi="Arial" w:hint="eastAsia"/>
                <w:sz w:val="18"/>
              </w:rPr>
              <w:t>[-93]</w:t>
            </w:r>
            <w:r w:rsidRPr="005A726F">
              <w:rPr>
                <w:rFonts w:ascii="Arial" w:hAnsi="Arial"/>
                <w:sz w:val="18"/>
              </w:rPr>
              <w:t xml:space="preserve"> (Note 4)</w:t>
            </w:r>
          </w:p>
        </w:tc>
        <w:tc>
          <w:tcPr>
            <w:tcW w:w="1277"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N/A</w:t>
            </w:r>
          </w:p>
        </w:tc>
        <w:tc>
          <w:tcPr>
            <w:tcW w:w="1275" w:type="dxa"/>
            <w:vAlign w:val="center"/>
          </w:tcPr>
          <w:p w:rsidR="00F362FF" w:rsidRPr="005A726F" w:rsidRDefault="00F362FF" w:rsidP="00DD39AB">
            <w:pPr>
              <w:keepNext/>
              <w:keepLines/>
              <w:spacing w:after="0"/>
              <w:jc w:val="center"/>
              <w:rPr>
                <w:rFonts w:ascii="Arial" w:hAnsi="Arial"/>
                <w:sz w:val="18"/>
              </w:rPr>
            </w:pPr>
            <w:r>
              <w:rPr>
                <w:rFonts w:ascii="Arial" w:hAnsi="Arial" w:hint="eastAsia"/>
                <w:sz w:val="18"/>
              </w:rPr>
              <w:t>N/A</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lang w:eastAsia="ko-KR"/>
              </w:rPr>
            </w:pPr>
            <w:r w:rsidRPr="00D41D1D">
              <w:rPr>
                <w:rFonts w:ascii="Arial" w:hAnsi="Arial"/>
                <w:noProof/>
                <w:position w:val="-12"/>
                <w:sz w:val="18"/>
                <w:lang w:val="en-US"/>
              </w:rPr>
              <w:drawing>
                <wp:inline distT="0" distB="0" distL="0" distR="0" wp14:anchorId="02DD35D1" wp14:editId="7B663EAE">
                  <wp:extent cx="485140" cy="2070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t>dB</w:t>
            </w:r>
          </w:p>
        </w:tc>
        <w:tc>
          <w:tcPr>
            <w:tcW w:w="1842" w:type="dxa"/>
            <w:gridSpan w:val="2"/>
            <w:vAlign w:val="center"/>
          </w:tcPr>
          <w:p w:rsidR="00F362FF" w:rsidRPr="005A726F" w:rsidRDefault="00F362FF" w:rsidP="00505AE7">
            <w:pPr>
              <w:keepNext/>
              <w:keepLines/>
              <w:spacing w:after="0"/>
              <w:jc w:val="center"/>
              <w:rPr>
                <w:rFonts w:ascii="Arial" w:hAnsi="Arial" w:cs="Arial"/>
                <w:sz w:val="18"/>
                <w:szCs w:val="18"/>
                <w:lang w:eastAsia="ko-KR"/>
              </w:rPr>
            </w:pPr>
            <w:r w:rsidRPr="005A726F">
              <w:rPr>
                <w:rFonts w:ascii="Arial" w:hAnsi="Arial" w:cs="Arial" w:hint="eastAsia"/>
                <w:sz w:val="18"/>
                <w:szCs w:val="18"/>
              </w:rPr>
              <w:t xml:space="preserve"> </w:t>
            </w:r>
            <w:r w:rsidR="00505AE7">
              <w:rPr>
                <w:rFonts w:ascii="Arial" w:hAnsi="Arial" w:cs="Arial"/>
                <w:sz w:val="18"/>
                <w:szCs w:val="18"/>
              </w:rPr>
              <w:t>[-5:2:25]</w:t>
            </w:r>
          </w:p>
        </w:tc>
        <w:tc>
          <w:tcPr>
            <w:tcW w:w="1277" w:type="dxa"/>
            <w:vAlign w:val="center"/>
          </w:tcPr>
          <w:p w:rsidR="00F362FF" w:rsidRDefault="00095C94" w:rsidP="00095C94">
            <w:pPr>
              <w:keepNext/>
              <w:keepLines/>
              <w:spacing w:after="0"/>
              <w:jc w:val="center"/>
              <w:rPr>
                <w:rFonts w:ascii="Arial" w:hAnsi="Arial" w:cs="Arial"/>
                <w:sz w:val="18"/>
                <w:szCs w:val="18"/>
              </w:rPr>
            </w:pPr>
            <w:r>
              <w:rPr>
                <w:rFonts w:ascii="Arial" w:hAnsi="Arial" w:cs="Arial"/>
                <w:sz w:val="18"/>
                <w:szCs w:val="18"/>
              </w:rPr>
              <w:t>Option 1: 5</w:t>
            </w:r>
          </w:p>
          <w:p w:rsidR="00095C94" w:rsidRPr="005A726F" w:rsidDel="00F92D5B" w:rsidRDefault="00095C94" w:rsidP="00095C94">
            <w:pPr>
              <w:keepNext/>
              <w:keepLines/>
              <w:spacing w:after="0"/>
              <w:jc w:val="center"/>
              <w:rPr>
                <w:rFonts w:ascii="Arial" w:hAnsi="Arial" w:cs="Arial"/>
                <w:sz w:val="18"/>
                <w:szCs w:val="18"/>
              </w:rPr>
            </w:pPr>
            <w:r>
              <w:rPr>
                <w:rFonts w:ascii="Arial" w:hAnsi="Arial" w:cs="Arial"/>
                <w:sz w:val="18"/>
                <w:szCs w:val="18"/>
              </w:rPr>
              <w:t>Option 2: 9</w:t>
            </w:r>
          </w:p>
        </w:tc>
        <w:tc>
          <w:tcPr>
            <w:tcW w:w="1275" w:type="dxa"/>
            <w:vAlign w:val="center"/>
          </w:tcPr>
          <w:p w:rsidR="00F362FF" w:rsidRDefault="00095C94" w:rsidP="00DD39AB">
            <w:pPr>
              <w:keepNext/>
              <w:keepLines/>
              <w:spacing w:after="0"/>
              <w:jc w:val="center"/>
              <w:rPr>
                <w:rFonts w:ascii="Arial" w:hAnsi="Arial" w:cs="Arial"/>
                <w:sz w:val="18"/>
                <w:szCs w:val="18"/>
              </w:rPr>
            </w:pPr>
            <w:r>
              <w:rPr>
                <w:rFonts w:ascii="Arial" w:hAnsi="Arial" w:cs="Arial"/>
                <w:sz w:val="18"/>
                <w:szCs w:val="18"/>
              </w:rPr>
              <w:t>Option 1: 3</w:t>
            </w:r>
          </w:p>
          <w:p w:rsidR="00095C94" w:rsidRPr="001D3D28" w:rsidRDefault="00095C94" w:rsidP="00DD39AB">
            <w:pPr>
              <w:keepNext/>
              <w:keepLines/>
              <w:spacing w:after="0"/>
              <w:jc w:val="center"/>
              <w:rPr>
                <w:rFonts w:ascii="Arial" w:hAnsi="Arial"/>
                <w:sz w:val="18"/>
              </w:rPr>
            </w:pPr>
            <w:r>
              <w:rPr>
                <w:rFonts w:ascii="Arial" w:hAnsi="Arial" w:cs="Arial"/>
                <w:sz w:val="18"/>
                <w:szCs w:val="18"/>
              </w:rPr>
              <w:t>Option 2: 1</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BW</w:t>
            </w:r>
            <w:r w:rsidRPr="005A726F">
              <w:rPr>
                <w:rFonts w:ascii="Arial" w:hAnsi="Arial" w:hint="eastAsia"/>
                <w:sz w:val="18"/>
                <w:vertAlign w:val="subscript"/>
              </w:rPr>
              <w:t>Channel</w:t>
            </w:r>
          </w:p>
        </w:tc>
        <w:tc>
          <w:tcPr>
            <w:tcW w:w="1279" w:type="dxa"/>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MHz</w:t>
            </w: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10</w:t>
            </w:r>
          </w:p>
        </w:tc>
        <w:tc>
          <w:tcPr>
            <w:tcW w:w="1277" w:type="dxa"/>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10</w:t>
            </w:r>
          </w:p>
        </w:tc>
        <w:tc>
          <w:tcPr>
            <w:tcW w:w="1275" w:type="dxa"/>
            <w:vAlign w:val="center"/>
          </w:tcPr>
          <w:p w:rsidR="00F362FF" w:rsidRPr="001D3D28" w:rsidRDefault="00F362FF" w:rsidP="00DD39AB">
            <w:pPr>
              <w:keepNext/>
              <w:keepLines/>
              <w:spacing w:after="0"/>
              <w:jc w:val="center"/>
              <w:rPr>
                <w:rFonts w:ascii="Arial" w:hAnsi="Arial"/>
                <w:sz w:val="18"/>
              </w:rPr>
            </w:pPr>
            <w:r w:rsidRPr="001D3D28">
              <w:rPr>
                <w:rFonts w:ascii="Arial" w:hAnsi="Arial" w:hint="eastAsia"/>
                <w:sz w:val="18"/>
              </w:rPr>
              <w:t>10</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Subframe Configuration</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hAnsi="Arial" w:cs="Arial"/>
                <w:sz w:val="18"/>
                <w:szCs w:val="18"/>
                <w:lang w:eastAsia="ko-KR"/>
              </w:rPr>
              <w:t>Non-MBSFN</w:t>
            </w:r>
          </w:p>
        </w:tc>
        <w:tc>
          <w:tcPr>
            <w:tcW w:w="1277" w:type="dxa"/>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Non-MBSFN</w:t>
            </w:r>
          </w:p>
        </w:tc>
        <w:tc>
          <w:tcPr>
            <w:tcW w:w="1275" w:type="dxa"/>
            <w:vAlign w:val="center"/>
          </w:tcPr>
          <w:p w:rsidR="00F362FF" w:rsidRPr="001D3D28" w:rsidRDefault="00F362FF" w:rsidP="00DD39AB">
            <w:pPr>
              <w:keepNext/>
              <w:keepLines/>
              <w:spacing w:after="0"/>
              <w:jc w:val="center"/>
              <w:rPr>
                <w:rFonts w:ascii="Arial" w:hAnsi="Arial"/>
                <w:sz w:val="18"/>
              </w:rPr>
            </w:pPr>
            <w:r w:rsidRPr="005A726F">
              <w:rPr>
                <w:rFonts w:ascii="Arial" w:hAnsi="Arial" w:cs="Arial" w:hint="eastAsia"/>
                <w:sz w:val="18"/>
                <w:szCs w:val="18"/>
              </w:rPr>
              <w:t>Non-MBSFN</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sz w:val="18"/>
              </w:rPr>
              <w:t>T</w:t>
            </w:r>
            <w:r w:rsidRPr="005A726F">
              <w:rPr>
                <w:rFonts w:ascii="Arial" w:hAnsi="Arial" w:hint="eastAsia"/>
                <w:sz w:val="18"/>
              </w:rPr>
              <w:t>ime Offset between Cells</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r w:rsidRPr="005A726F">
              <w:rPr>
                <w:rFonts w:ascii="Arial" w:eastAsia="?? ??" w:hAnsi="Arial"/>
                <w:sz w:val="18"/>
                <w:lang w:eastAsia="ko-KR"/>
              </w:rPr>
              <w:sym w:font="Symbol" w:char="F06D"/>
            </w:r>
            <w:r w:rsidRPr="005A726F">
              <w:rPr>
                <w:rFonts w:ascii="Arial" w:eastAsia="?? ??" w:hAnsi="Arial"/>
                <w:sz w:val="18"/>
                <w:lang w:eastAsia="ko-KR"/>
              </w:rPr>
              <w:t>s</w:t>
            </w: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N/A</w:t>
            </w:r>
          </w:p>
        </w:tc>
        <w:tc>
          <w:tcPr>
            <w:tcW w:w="1277" w:type="dxa"/>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[3]</w:t>
            </w:r>
          </w:p>
        </w:tc>
        <w:tc>
          <w:tcPr>
            <w:tcW w:w="1275" w:type="dxa"/>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[-1]</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Pr>
                <w:rFonts w:ascii="Arial" w:hAnsi="Arial" w:hint="eastAsia"/>
                <w:sz w:val="18"/>
              </w:rPr>
              <w:t>Frequency shift between Cells</w:t>
            </w:r>
          </w:p>
        </w:tc>
        <w:tc>
          <w:tcPr>
            <w:tcW w:w="1279" w:type="dxa"/>
            <w:vAlign w:val="center"/>
          </w:tcPr>
          <w:p w:rsidR="00F362FF" w:rsidRPr="00D82C3C" w:rsidRDefault="00F362FF" w:rsidP="00DD39AB">
            <w:pPr>
              <w:keepNext/>
              <w:keepLines/>
              <w:spacing w:after="0"/>
              <w:jc w:val="center"/>
              <w:rPr>
                <w:rFonts w:ascii="Arial" w:hAnsi="Arial"/>
                <w:sz w:val="18"/>
              </w:rPr>
            </w:pPr>
            <w:r>
              <w:rPr>
                <w:rFonts w:ascii="Arial" w:hAnsi="Arial" w:hint="eastAsia"/>
                <w:sz w:val="18"/>
              </w:rPr>
              <w:t>Hz</w:t>
            </w:r>
          </w:p>
        </w:tc>
        <w:tc>
          <w:tcPr>
            <w:tcW w:w="1842" w:type="dxa"/>
            <w:gridSpan w:val="2"/>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N/A</w:t>
            </w:r>
          </w:p>
        </w:tc>
        <w:tc>
          <w:tcPr>
            <w:tcW w:w="1277" w:type="dxa"/>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[300]</w:t>
            </w:r>
          </w:p>
        </w:tc>
        <w:tc>
          <w:tcPr>
            <w:tcW w:w="1275" w:type="dxa"/>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[-100]</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hint="eastAsia"/>
                <w:sz w:val="18"/>
              </w:rPr>
              <w:t>Cell Id</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0</w:t>
            </w:r>
          </w:p>
        </w:tc>
        <w:tc>
          <w:tcPr>
            <w:tcW w:w="1277" w:type="dxa"/>
            <w:vAlign w:val="center"/>
          </w:tcPr>
          <w:p w:rsidR="00F362FF" w:rsidRPr="00D41D1D" w:rsidRDefault="00F362FF" w:rsidP="00DD39AB">
            <w:pPr>
              <w:keepNext/>
              <w:keepLines/>
              <w:spacing w:after="0"/>
              <w:ind w:left="1418" w:hanging="284"/>
              <w:jc w:val="center"/>
              <w:rPr>
                <w:rFonts w:ascii="Arial" w:hAnsi="Arial" w:cs="Arial"/>
                <w:sz w:val="18"/>
                <w:szCs w:val="18"/>
              </w:rPr>
            </w:pPr>
            <w:r w:rsidRPr="00D41D1D">
              <w:rPr>
                <w:rFonts w:ascii="Arial" w:hAnsi="Arial" w:cs="Arial"/>
                <w:sz w:val="18"/>
                <w:szCs w:val="18"/>
              </w:rPr>
              <w:t>1</w:t>
            </w:r>
          </w:p>
        </w:tc>
        <w:tc>
          <w:tcPr>
            <w:tcW w:w="1275" w:type="dxa"/>
            <w:vAlign w:val="center"/>
          </w:tcPr>
          <w:p w:rsidR="00F362FF" w:rsidRPr="00D41D1D" w:rsidRDefault="00F362FF" w:rsidP="00DD39AB">
            <w:pPr>
              <w:keepNext/>
              <w:keepLines/>
              <w:spacing w:after="0"/>
              <w:ind w:left="1418" w:hanging="284"/>
              <w:jc w:val="center"/>
              <w:rPr>
                <w:rFonts w:ascii="Arial" w:hAnsi="Arial"/>
                <w:sz w:val="18"/>
              </w:rPr>
            </w:pPr>
            <w:r w:rsidRPr="00D41D1D">
              <w:rPr>
                <w:rFonts w:ascii="Arial" w:hAnsi="Arial" w:cs="Arial"/>
                <w:sz w:val="18"/>
                <w:szCs w:val="18"/>
              </w:rPr>
              <w:t>126</w:t>
            </w:r>
          </w:p>
        </w:tc>
      </w:tr>
      <w:tr w:rsidR="00F362FF" w:rsidRPr="005A726F" w:rsidTr="00DD5DC1">
        <w:trPr>
          <w:cantSplit/>
          <w:trHeight w:val="354"/>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sz w:val="18"/>
                <w:lang w:eastAsia="ko-KR"/>
              </w:rPr>
              <w:t>ABS pattern (Note 5)</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N/A</w:t>
            </w:r>
          </w:p>
        </w:tc>
        <w:tc>
          <w:tcPr>
            <w:tcW w:w="1277" w:type="dxa"/>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w:t>
            </w:r>
            <w:r>
              <w:rPr>
                <w:rFonts w:ascii="Arial" w:hAnsi="Arial" w:cs="Arial"/>
                <w:sz w:val="18"/>
                <w:szCs w:val="18"/>
                <w:lang w:eastAsia="ko-KR"/>
              </w:rPr>
              <w:t>11000</w:t>
            </w:r>
            <w:r>
              <w:rPr>
                <w:rFonts w:ascii="Arial" w:hAnsi="Arial" w:cs="Arial" w:hint="eastAsia"/>
                <w:sz w:val="18"/>
                <w:szCs w:val="18"/>
              </w:rPr>
              <w:t>0</w:t>
            </w:r>
            <w:r w:rsidRPr="005A726F">
              <w:rPr>
                <w:rFonts w:ascii="Arial" w:hAnsi="Arial" w:cs="Arial"/>
                <w:sz w:val="18"/>
                <w:szCs w:val="18"/>
                <w:lang w:eastAsia="ko-KR"/>
              </w:rPr>
              <w:t>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Pr="00594194" w:rsidRDefault="00F362FF" w:rsidP="00DD39AB">
            <w:pPr>
              <w:keepNext/>
              <w:keepLines/>
              <w:spacing w:after="0"/>
              <w:jc w:val="center"/>
              <w:rPr>
                <w:rFonts w:ascii="Arial" w:hAnsi="Arial" w:cs="Arial"/>
                <w:sz w:val="18"/>
                <w:szCs w:val="18"/>
                <w:highlight w:val="yellow"/>
              </w:rPr>
            </w:pPr>
            <w:r w:rsidRPr="005A726F">
              <w:rPr>
                <w:rFonts w:ascii="Arial" w:hAnsi="Arial" w:cs="Arial"/>
                <w:sz w:val="18"/>
                <w:szCs w:val="18"/>
                <w:lang w:eastAsia="ko-KR"/>
              </w:rPr>
              <w:t>11000000</w:t>
            </w:r>
            <w:r>
              <w:rPr>
                <w:rFonts w:ascii="Arial" w:hAnsi="Arial" w:cs="Arial" w:hint="eastAsia"/>
                <w:sz w:val="18"/>
                <w:szCs w:val="18"/>
              </w:rPr>
              <w:t>]</w:t>
            </w:r>
          </w:p>
        </w:tc>
        <w:tc>
          <w:tcPr>
            <w:tcW w:w="1275" w:type="dxa"/>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w:t>
            </w:r>
            <w:r>
              <w:rPr>
                <w:rFonts w:ascii="Arial" w:hAnsi="Arial" w:cs="Arial"/>
                <w:sz w:val="18"/>
                <w:szCs w:val="18"/>
                <w:lang w:eastAsia="ko-KR"/>
              </w:rPr>
              <w:t>11000</w:t>
            </w:r>
            <w:r>
              <w:rPr>
                <w:rFonts w:ascii="Arial" w:hAnsi="Arial" w:cs="Arial" w:hint="eastAsia"/>
                <w:sz w:val="18"/>
                <w:szCs w:val="18"/>
              </w:rPr>
              <w:t>0</w:t>
            </w:r>
            <w:r w:rsidRPr="005A726F">
              <w:rPr>
                <w:rFonts w:ascii="Arial" w:hAnsi="Arial" w:cs="Arial"/>
                <w:sz w:val="18"/>
                <w:szCs w:val="18"/>
                <w:lang w:eastAsia="ko-KR"/>
              </w:rPr>
              <w:t>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Default="00F362FF" w:rsidP="00DD39AB">
            <w:pPr>
              <w:keepNext/>
              <w:keepLines/>
              <w:spacing w:after="0"/>
              <w:jc w:val="center"/>
              <w:rPr>
                <w:rFonts w:ascii="Arial" w:hAnsi="Arial" w:cs="Arial"/>
                <w:sz w:val="18"/>
                <w:szCs w:val="18"/>
              </w:rPr>
            </w:pPr>
            <w:r w:rsidRPr="005A726F">
              <w:rPr>
                <w:rFonts w:ascii="Arial" w:hAnsi="Arial" w:cs="Arial"/>
                <w:sz w:val="18"/>
                <w:szCs w:val="18"/>
                <w:lang w:eastAsia="ko-KR"/>
              </w:rPr>
              <w:t>11000000</w:t>
            </w:r>
            <w:r w:rsidRPr="005A726F">
              <w:rPr>
                <w:rFonts w:ascii="Arial" w:hAnsi="Arial" w:cs="Arial" w:hint="eastAsia"/>
                <w:sz w:val="18"/>
                <w:szCs w:val="18"/>
              </w:rPr>
              <w:t xml:space="preserve"> </w:t>
            </w:r>
          </w:p>
          <w:p w:rsidR="00F362FF" w:rsidRPr="00594194" w:rsidRDefault="00F362FF" w:rsidP="00DD39AB">
            <w:pPr>
              <w:keepNext/>
              <w:keepLines/>
              <w:spacing w:after="0"/>
              <w:jc w:val="center"/>
              <w:rPr>
                <w:rFonts w:ascii="Arial" w:hAnsi="Arial" w:cs="Arial"/>
                <w:sz w:val="18"/>
                <w:szCs w:val="18"/>
                <w:highlight w:val="yellow"/>
              </w:rPr>
            </w:pPr>
            <w:r w:rsidRPr="005A726F">
              <w:rPr>
                <w:rFonts w:ascii="Arial" w:hAnsi="Arial" w:cs="Arial"/>
                <w:sz w:val="18"/>
                <w:szCs w:val="18"/>
                <w:lang w:eastAsia="ko-KR"/>
              </w:rPr>
              <w:t>11000000</w:t>
            </w:r>
            <w:r>
              <w:rPr>
                <w:rFonts w:ascii="Arial" w:hAnsi="Arial" w:cs="Arial" w:hint="eastAsia"/>
                <w:sz w:val="18"/>
                <w:szCs w:val="18"/>
              </w:rPr>
              <w:t>]</w:t>
            </w:r>
          </w:p>
        </w:tc>
      </w:tr>
      <w:tr w:rsidR="00F362FF" w:rsidRPr="005A726F" w:rsidTr="00DD5DC1">
        <w:trPr>
          <w:cantSplit/>
          <w:trHeight w:val="157"/>
          <w:jc w:val="center"/>
        </w:trPr>
        <w:tc>
          <w:tcPr>
            <w:tcW w:w="2843" w:type="dxa"/>
            <w:gridSpan w:val="2"/>
            <w:vAlign w:val="center"/>
          </w:tcPr>
          <w:p w:rsidR="00F362FF" w:rsidRPr="005A726F" w:rsidRDefault="00F362FF" w:rsidP="00DD39AB">
            <w:pPr>
              <w:keepNext/>
              <w:keepLines/>
              <w:spacing w:after="0"/>
              <w:jc w:val="center"/>
              <w:rPr>
                <w:rFonts w:ascii="Arial" w:hAnsi="Arial"/>
                <w:sz w:val="18"/>
                <w:lang w:eastAsia="ko-KR"/>
              </w:rPr>
            </w:pPr>
            <w:r w:rsidRPr="005A726F">
              <w:rPr>
                <w:rFonts w:ascii="Arial" w:hAnsi="Arial" w:hint="eastAsia"/>
                <w:sz w:val="18"/>
              </w:rPr>
              <w:t>Number of control OFDM symbols</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sidRPr="005A726F">
              <w:rPr>
                <w:rFonts w:ascii="Arial" w:hAnsi="Arial" w:cs="Arial" w:hint="eastAsia"/>
                <w:sz w:val="18"/>
                <w:szCs w:val="18"/>
              </w:rPr>
              <w:t>2</w:t>
            </w:r>
          </w:p>
        </w:tc>
        <w:tc>
          <w:tcPr>
            <w:tcW w:w="1277" w:type="dxa"/>
            <w:vAlign w:val="center"/>
          </w:tcPr>
          <w:p w:rsidR="00F362FF" w:rsidRPr="005A726F" w:rsidRDefault="00095C94" w:rsidP="00DD39AB">
            <w:pPr>
              <w:keepNext/>
              <w:keepLines/>
              <w:spacing w:after="0"/>
              <w:jc w:val="center"/>
              <w:rPr>
                <w:rFonts w:ascii="Arial" w:hAnsi="Arial" w:cs="Arial"/>
                <w:sz w:val="18"/>
                <w:szCs w:val="18"/>
              </w:rPr>
            </w:pPr>
            <w:r>
              <w:rPr>
                <w:rFonts w:ascii="Arial" w:hAnsi="Arial" w:cs="Arial"/>
                <w:sz w:val="18"/>
                <w:szCs w:val="18"/>
              </w:rPr>
              <w:t>N/A</w:t>
            </w:r>
          </w:p>
        </w:tc>
        <w:tc>
          <w:tcPr>
            <w:tcW w:w="1275" w:type="dxa"/>
            <w:vAlign w:val="center"/>
          </w:tcPr>
          <w:p w:rsidR="00F362FF" w:rsidRPr="005A726F" w:rsidRDefault="00095C94" w:rsidP="00DD39AB">
            <w:pPr>
              <w:keepNext/>
              <w:keepLines/>
              <w:spacing w:after="0"/>
              <w:jc w:val="center"/>
              <w:rPr>
                <w:rFonts w:ascii="Arial" w:hAnsi="Arial" w:cs="Arial"/>
                <w:sz w:val="18"/>
                <w:szCs w:val="18"/>
              </w:rPr>
            </w:pPr>
            <w:r>
              <w:rPr>
                <w:rFonts w:ascii="Arial" w:hAnsi="Arial" w:cs="Arial"/>
                <w:sz w:val="18"/>
                <w:szCs w:val="18"/>
              </w:rPr>
              <w:t>N/A</w:t>
            </w:r>
          </w:p>
        </w:tc>
      </w:tr>
      <w:tr w:rsidR="00F362FF" w:rsidRPr="005A726F" w:rsidTr="00DD5DC1">
        <w:trPr>
          <w:cantSplit/>
          <w:trHeight w:val="157"/>
          <w:jc w:val="center"/>
        </w:trPr>
        <w:tc>
          <w:tcPr>
            <w:tcW w:w="2843" w:type="dxa"/>
            <w:gridSpan w:val="2"/>
            <w:vAlign w:val="center"/>
          </w:tcPr>
          <w:p w:rsidR="00F362FF" w:rsidRPr="005A726F" w:rsidRDefault="00F362FF" w:rsidP="00DD39AB">
            <w:pPr>
              <w:keepNext/>
              <w:keepLines/>
              <w:spacing w:after="0"/>
              <w:jc w:val="center"/>
              <w:rPr>
                <w:rFonts w:ascii="Arial" w:hAnsi="Arial"/>
                <w:sz w:val="18"/>
              </w:rPr>
            </w:pPr>
            <w:r w:rsidRPr="005A726F">
              <w:rPr>
                <w:rFonts w:ascii="Arial" w:hAnsi="Arial" w:cs="Arial"/>
                <w:sz w:val="18"/>
                <w:lang w:eastAsia="ko-KR"/>
              </w:rPr>
              <w:t>PDSCH transmission mode</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3</w:t>
            </w:r>
          </w:p>
        </w:tc>
        <w:tc>
          <w:tcPr>
            <w:tcW w:w="1277" w:type="dxa"/>
            <w:vAlign w:val="center"/>
          </w:tcPr>
          <w:p w:rsidR="00F362FF" w:rsidRPr="005A726F" w:rsidRDefault="00095C94" w:rsidP="00DD39AB">
            <w:pPr>
              <w:keepNext/>
              <w:keepLines/>
              <w:spacing w:after="0"/>
              <w:jc w:val="center"/>
              <w:rPr>
                <w:rFonts w:ascii="Arial" w:hAnsi="Arial" w:cs="Arial"/>
                <w:sz w:val="18"/>
                <w:szCs w:val="18"/>
              </w:rPr>
            </w:pPr>
            <w:r>
              <w:rPr>
                <w:rFonts w:ascii="Arial" w:hAnsi="Arial" w:cs="Arial"/>
                <w:sz w:val="18"/>
                <w:szCs w:val="18"/>
              </w:rPr>
              <w:t>N/A</w:t>
            </w:r>
          </w:p>
        </w:tc>
        <w:tc>
          <w:tcPr>
            <w:tcW w:w="1275" w:type="dxa"/>
            <w:vAlign w:val="center"/>
          </w:tcPr>
          <w:p w:rsidR="00F362FF" w:rsidRPr="005A726F" w:rsidRDefault="00095C94" w:rsidP="00DD39AB">
            <w:pPr>
              <w:keepNext/>
              <w:keepLines/>
              <w:spacing w:after="0"/>
              <w:jc w:val="center"/>
              <w:rPr>
                <w:rFonts w:ascii="Arial" w:hAnsi="Arial" w:cs="Arial"/>
                <w:sz w:val="18"/>
                <w:szCs w:val="18"/>
              </w:rPr>
            </w:pPr>
            <w:r>
              <w:rPr>
                <w:rFonts w:ascii="Arial" w:hAnsi="Arial" w:cs="Arial"/>
                <w:sz w:val="18"/>
                <w:szCs w:val="18"/>
              </w:rPr>
              <w:t>N/A</w:t>
            </w:r>
          </w:p>
        </w:tc>
      </w:tr>
      <w:tr w:rsidR="00F362FF" w:rsidRPr="005A726F" w:rsidTr="00DD5DC1">
        <w:trPr>
          <w:cantSplit/>
          <w:trHeight w:val="157"/>
          <w:jc w:val="center"/>
        </w:trPr>
        <w:tc>
          <w:tcPr>
            <w:tcW w:w="2843" w:type="dxa"/>
            <w:gridSpan w:val="2"/>
            <w:vAlign w:val="center"/>
          </w:tcPr>
          <w:p w:rsidR="00F362FF" w:rsidRPr="005A726F" w:rsidRDefault="00F362FF" w:rsidP="00DD39AB">
            <w:pPr>
              <w:keepNext/>
              <w:keepLines/>
              <w:spacing w:after="0"/>
              <w:jc w:val="center"/>
              <w:rPr>
                <w:rFonts w:ascii="Arial" w:hAnsi="Arial" w:cs="Arial"/>
                <w:sz w:val="18"/>
              </w:rPr>
            </w:pPr>
            <w:r>
              <w:rPr>
                <w:rFonts w:ascii="Arial" w:hAnsi="Arial" w:cs="Arial" w:hint="eastAsia"/>
                <w:sz w:val="18"/>
              </w:rPr>
              <w:t>Cyclic prefix</w:t>
            </w:r>
          </w:p>
        </w:tc>
        <w:tc>
          <w:tcPr>
            <w:tcW w:w="1279" w:type="dxa"/>
            <w:vAlign w:val="center"/>
          </w:tcPr>
          <w:p w:rsidR="00F362FF" w:rsidRPr="005A726F" w:rsidRDefault="00F362FF" w:rsidP="00DD39AB">
            <w:pPr>
              <w:keepNext/>
              <w:keepLines/>
              <w:spacing w:after="0"/>
              <w:jc w:val="center"/>
              <w:rPr>
                <w:rFonts w:ascii="Arial" w:eastAsia="?? ??" w:hAnsi="Arial"/>
                <w:sz w:val="18"/>
                <w:lang w:eastAsia="ko-KR"/>
              </w:rPr>
            </w:pPr>
          </w:p>
        </w:tc>
        <w:tc>
          <w:tcPr>
            <w:tcW w:w="1842" w:type="dxa"/>
            <w:gridSpan w:val="2"/>
            <w:vAlign w:val="center"/>
          </w:tcPr>
          <w:p w:rsidR="00F362FF" w:rsidRDefault="00F362FF" w:rsidP="00DD39AB">
            <w:pPr>
              <w:keepNext/>
              <w:keepLines/>
              <w:spacing w:after="0"/>
              <w:jc w:val="center"/>
              <w:rPr>
                <w:rFonts w:ascii="Arial" w:hAnsi="Arial" w:cs="Arial"/>
                <w:sz w:val="18"/>
                <w:szCs w:val="18"/>
              </w:rPr>
            </w:pPr>
            <w:r>
              <w:rPr>
                <w:rFonts w:ascii="Arial" w:hAnsi="Arial" w:cs="Arial" w:hint="eastAsia"/>
                <w:sz w:val="18"/>
                <w:szCs w:val="18"/>
              </w:rPr>
              <w:t>Normal</w:t>
            </w:r>
          </w:p>
        </w:tc>
        <w:tc>
          <w:tcPr>
            <w:tcW w:w="1277" w:type="dxa"/>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Normal</w:t>
            </w:r>
          </w:p>
        </w:tc>
        <w:tc>
          <w:tcPr>
            <w:tcW w:w="1275" w:type="dxa"/>
            <w:vAlign w:val="center"/>
          </w:tcPr>
          <w:p w:rsidR="00F362FF" w:rsidRPr="005A726F" w:rsidRDefault="00F362FF" w:rsidP="00DD39AB">
            <w:pPr>
              <w:keepNext/>
              <w:keepLines/>
              <w:spacing w:after="0"/>
              <w:jc w:val="center"/>
              <w:rPr>
                <w:rFonts w:ascii="Arial" w:hAnsi="Arial" w:cs="Arial"/>
                <w:sz w:val="18"/>
                <w:szCs w:val="18"/>
              </w:rPr>
            </w:pPr>
            <w:r>
              <w:rPr>
                <w:rFonts w:ascii="Arial" w:hAnsi="Arial" w:cs="Arial" w:hint="eastAsia"/>
                <w:sz w:val="18"/>
                <w:szCs w:val="18"/>
              </w:rPr>
              <w:t>Normal</w:t>
            </w:r>
          </w:p>
        </w:tc>
      </w:tr>
    </w:tbl>
    <w:p w:rsidR="00F362FF" w:rsidRDefault="00F362FF" w:rsidP="00F362FF">
      <w:pPr>
        <w:rPr>
          <w:rFonts w:eastAsia="Malgun Gothic"/>
          <w:lang w:eastAsia="ko-KR"/>
        </w:rPr>
      </w:pPr>
    </w:p>
    <w:p w:rsidR="00F362FF" w:rsidRPr="00F362FF" w:rsidRDefault="00F362FF" w:rsidP="00F362FF">
      <w:pPr>
        <w:rPr>
          <w:rFonts w:eastAsia="Malgun Gothic"/>
          <w:lang w:eastAsia="ko-KR"/>
        </w:rPr>
      </w:pPr>
    </w:p>
    <w:p w:rsidR="00BC067B" w:rsidRDefault="00BC067B" w:rsidP="00BC067B">
      <w:pPr>
        <w:pStyle w:val="Heading1"/>
        <w:numPr>
          <w:ilvl w:val="0"/>
          <w:numId w:val="0"/>
        </w:numPr>
        <w:rPr>
          <w:lang w:val="en-US"/>
        </w:rPr>
      </w:pPr>
      <w:bookmarkStart w:id="10" w:name="_Toc336623086"/>
      <w:bookmarkStart w:id="11" w:name="_Toc345927718"/>
      <w:r>
        <w:rPr>
          <w:lang w:val="en-US"/>
        </w:rPr>
        <w:t>Reference</w:t>
      </w:r>
    </w:p>
    <w:p w:rsidR="00C75E59" w:rsidRDefault="007756BD" w:rsidP="007756BD">
      <w:pPr>
        <w:pStyle w:val="List2"/>
        <w:rPr>
          <w:lang w:val="en-US"/>
        </w:rPr>
      </w:pPr>
      <w:r w:rsidRPr="007756BD">
        <w:rPr>
          <w:lang w:val="en-US"/>
        </w:rPr>
        <w:t>R4-132961</w:t>
      </w:r>
      <w:r w:rsidR="008862B8" w:rsidRPr="00C75E59">
        <w:rPr>
          <w:lang w:val="en-US"/>
        </w:rPr>
        <w:t xml:space="preserve">, </w:t>
      </w:r>
      <w:r w:rsidRPr="007756BD">
        <w:t>Meeting minutes for FeICIC ad hoc</w:t>
      </w:r>
      <w:r w:rsidR="00A737B5">
        <w:rPr>
          <w:lang w:val="en-US"/>
        </w:rPr>
        <w:t>,</w:t>
      </w:r>
      <w:r>
        <w:rPr>
          <w:lang w:val="en-US"/>
        </w:rPr>
        <w:t xml:space="preserve"> Huawei, </w:t>
      </w:r>
      <w:r w:rsidR="00A737B5">
        <w:rPr>
          <w:lang w:val="en-US"/>
        </w:rPr>
        <w:t>May 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10"/>
      <w:bookmarkEnd w:id="11"/>
    </w:p>
    <w:sectPr w:rsidR="00BC067B" w:rsidRPr="00C75E59">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03B" w:rsidRDefault="00ED703B">
      <w:r>
        <w:separator/>
      </w:r>
    </w:p>
  </w:endnote>
  <w:endnote w:type="continuationSeparator" w:id="0">
    <w:p w:rsidR="00ED703B" w:rsidRDefault="00ED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6E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6E3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03B" w:rsidRDefault="00ED703B">
      <w:r>
        <w:separator/>
      </w:r>
    </w:p>
  </w:footnote>
  <w:footnote w:type="continuationSeparator" w:id="0">
    <w:p w:rsidR="00ED703B" w:rsidRDefault="00ED7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0708C"/>
    <w:multiLevelType w:val="hybridMultilevel"/>
    <w:tmpl w:val="1848FB9E"/>
    <w:lvl w:ilvl="0" w:tplc="B2420CA4">
      <w:start w:val="1822"/>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DF05BCD"/>
    <w:multiLevelType w:val="hybridMultilevel"/>
    <w:tmpl w:val="BEB49304"/>
    <w:lvl w:ilvl="0" w:tplc="B2420CA4">
      <w:start w:val="1822"/>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nsid w:val="384D189F"/>
    <w:multiLevelType w:val="hybridMultilevel"/>
    <w:tmpl w:val="9D64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6AE0B5E"/>
    <w:multiLevelType w:val="hybridMultilevel"/>
    <w:tmpl w:val="75AE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5C0B59CC"/>
    <w:multiLevelType w:val="hybridMultilevel"/>
    <w:tmpl w:val="76E48498"/>
    <w:lvl w:ilvl="0" w:tplc="56EAE52A">
      <w:start w:val="1"/>
      <w:numFmt w:val="bullet"/>
      <w:lvlText w:val="–"/>
      <w:lvlJc w:val="left"/>
      <w:pPr>
        <w:tabs>
          <w:tab w:val="num" w:pos="360"/>
        </w:tabs>
        <w:ind w:left="360" w:hanging="360"/>
      </w:pPr>
      <w:rPr>
        <w:rFonts w:ascii="Times New Roman" w:hAnsi="Times New Roman" w:hint="default"/>
      </w:rPr>
    </w:lvl>
    <w:lvl w:ilvl="1" w:tplc="1A9C3174">
      <w:start w:val="1"/>
      <w:numFmt w:val="bullet"/>
      <w:lvlText w:val="–"/>
      <w:lvlJc w:val="left"/>
      <w:pPr>
        <w:tabs>
          <w:tab w:val="num" w:pos="1080"/>
        </w:tabs>
        <w:ind w:left="1080" w:hanging="360"/>
      </w:pPr>
      <w:rPr>
        <w:rFonts w:ascii="Times New Roman" w:hAnsi="Times New Roman" w:hint="default"/>
      </w:rPr>
    </w:lvl>
    <w:lvl w:ilvl="2" w:tplc="8CDC7A54">
      <w:start w:val="3272"/>
      <w:numFmt w:val="bullet"/>
      <w:lvlText w:val="•"/>
      <w:lvlJc w:val="left"/>
      <w:pPr>
        <w:tabs>
          <w:tab w:val="num" w:pos="1800"/>
        </w:tabs>
        <w:ind w:left="1800" w:hanging="360"/>
      </w:pPr>
      <w:rPr>
        <w:rFonts w:ascii="Times New Roman" w:hAnsi="Times New Roman" w:hint="default"/>
      </w:rPr>
    </w:lvl>
    <w:lvl w:ilvl="3" w:tplc="79D8E018" w:tentative="1">
      <w:start w:val="1"/>
      <w:numFmt w:val="bullet"/>
      <w:lvlText w:val="–"/>
      <w:lvlJc w:val="left"/>
      <w:pPr>
        <w:tabs>
          <w:tab w:val="num" w:pos="2520"/>
        </w:tabs>
        <w:ind w:left="2520" w:hanging="360"/>
      </w:pPr>
      <w:rPr>
        <w:rFonts w:ascii="Times New Roman" w:hAnsi="Times New Roman" w:hint="default"/>
      </w:rPr>
    </w:lvl>
    <w:lvl w:ilvl="4" w:tplc="A91C1734" w:tentative="1">
      <w:start w:val="1"/>
      <w:numFmt w:val="bullet"/>
      <w:lvlText w:val="–"/>
      <w:lvlJc w:val="left"/>
      <w:pPr>
        <w:tabs>
          <w:tab w:val="num" w:pos="3240"/>
        </w:tabs>
        <w:ind w:left="3240" w:hanging="360"/>
      </w:pPr>
      <w:rPr>
        <w:rFonts w:ascii="Times New Roman" w:hAnsi="Times New Roman" w:hint="default"/>
      </w:rPr>
    </w:lvl>
    <w:lvl w:ilvl="5" w:tplc="AE14B224" w:tentative="1">
      <w:start w:val="1"/>
      <w:numFmt w:val="bullet"/>
      <w:lvlText w:val="–"/>
      <w:lvlJc w:val="left"/>
      <w:pPr>
        <w:tabs>
          <w:tab w:val="num" w:pos="3960"/>
        </w:tabs>
        <w:ind w:left="3960" w:hanging="360"/>
      </w:pPr>
      <w:rPr>
        <w:rFonts w:ascii="Times New Roman" w:hAnsi="Times New Roman" w:hint="default"/>
      </w:rPr>
    </w:lvl>
    <w:lvl w:ilvl="6" w:tplc="87600A2C" w:tentative="1">
      <w:start w:val="1"/>
      <w:numFmt w:val="bullet"/>
      <w:lvlText w:val="–"/>
      <w:lvlJc w:val="left"/>
      <w:pPr>
        <w:tabs>
          <w:tab w:val="num" w:pos="4680"/>
        </w:tabs>
        <w:ind w:left="4680" w:hanging="360"/>
      </w:pPr>
      <w:rPr>
        <w:rFonts w:ascii="Times New Roman" w:hAnsi="Times New Roman" w:hint="default"/>
      </w:rPr>
    </w:lvl>
    <w:lvl w:ilvl="7" w:tplc="9CA00B7E" w:tentative="1">
      <w:start w:val="1"/>
      <w:numFmt w:val="bullet"/>
      <w:lvlText w:val="–"/>
      <w:lvlJc w:val="left"/>
      <w:pPr>
        <w:tabs>
          <w:tab w:val="num" w:pos="5400"/>
        </w:tabs>
        <w:ind w:left="5400" w:hanging="360"/>
      </w:pPr>
      <w:rPr>
        <w:rFonts w:ascii="Times New Roman" w:hAnsi="Times New Roman" w:hint="default"/>
      </w:rPr>
    </w:lvl>
    <w:lvl w:ilvl="8" w:tplc="65864E02" w:tentative="1">
      <w:start w:val="1"/>
      <w:numFmt w:val="bullet"/>
      <w:lvlText w:val="–"/>
      <w:lvlJc w:val="left"/>
      <w:pPr>
        <w:tabs>
          <w:tab w:val="num" w:pos="6120"/>
        </w:tabs>
        <w:ind w:left="6120" w:hanging="360"/>
      </w:pPr>
      <w:rPr>
        <w:rFonts w:ascii="Times New Roman" w:hAnsi="Times New Roman" w:hint="default"/>
      </w:r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7">
    <w:nsid w:val="67027288"/>
    <w:multiLevelType w:val="hybridMultilevel"/>
    <w:tmpl w:val="2A2EA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6B6F479B"/>
    <w:multiLevelType w:val="hybridMultilevel"/>
    <w:tmpl w:val="E65AAB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1B3686"/>
    <w:multiLevelType w:val="hybridMultilevel"/>
    <w:tmpl w:val="EA0C8B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6"/>
  </w:num>
  <w:num w:numId="3">
    <w:abstractNumId w:val="18"/>
  </w:num>
  <w:num w:numId="4">
    <w:abstractNumId w:val="45"/>
  </w:num>
  <w:num w:numId="5">
    <w:abstractNumId w:val="10"/>
  </w:num>
  <w:num w:numId="6">
    <w:abstractNumId w:val="27"/>
  </w:num>
  <w:num w:numId="7">
    <w:abstractNumId w:val="40"/>
  </w:num>
  <w:num w:numId="8">
    <w:abstractNumId w:val="32"/>
  </w:num>
  <w:num w:numId="9">
    <w:abstractNumId w:val="20"/>
  </w:num>
  <w:num w:numId="10">
    <w:abstractNumId w:val="41"/>
  </w:num>
  <w:num w:numId="11">
    <w:abstractNumId w:val="39"/>
  </w:num>
  <w:num w:numId="12">
    <w:abstractNumId w:val="11"/>
  </w:num>
  <w:num w:numId="13">
    <w:abstractNumId w:val="9"/>
  </w:num>
  <w:num w:numId="14">
    <w:abstractNumId w:val="14"/>
  </w:num>
  <w:num w:numId="15">
    <w:abstractNumId w:val="44"/>
  </w:num>
  <w:num w:numId="16">
    <w:abstractNumId w:val="19"/>
  </w:num>
  <w:num w:numId="17">
    <w:abstractNumId w:val="6"/>
  </w:num>
  <w:num w:numId="18">
    <w:abstractNumId w:val="29"/>
  </w:num>
  <w:num w:numId="19">
    <w:abstractNumId w:val="28"/>
  </w:num>
  <w:num w:numId="20">
    <w:abstractNumId w:val="43"/>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46"/>
  </w:num>
  <w:num w:numId="23">
    <w:abstractNumId w:val="23"/>
  </w:num>
  <w:num w:numId="24">
    <w:abstractNumId w:val="7"/>
  </w:num>
  <w:num w:numId="25">
    <w:abstractNumId w:val="17"/>
  </w:num>
  <w:num w:numId="26">
    <w:abstractNumId w:val="35"/>
  </w:num>
  <w:num w:numId="27">
    <w:abstractNumId w:val="4"/>
  </w:num>
  <w:num w:numId="28">
    <w:abstractNumId w:val="8"/>
  </w:num>
  <w:num w:numId="29">
    <w:abstractNumId w:val="26"/>
  </w:num>
  <w:num w:numId="30">
    <w:abstractNumId w:val="47"/>
  </w:num>
  <w:num w:numId="31">
    <w:abstractNumId w:val="13"/>
  </w:num>
  <w:num w:numId="32">
    <w:abstractNumId w:val="30"/>
  </w:num>
  <w:num w:numId="33">
    <w:abstractNumId w:val="24"/>
  </w:num>
  <w:num w:numId="34">
    <w:abstractNumId w:val="21"/>
  </w:num>
  <w:num w:numId="35">
    <w:abstractNumId w:val="3"/>
  </w:num>
  <w:num w:numId="36">
    <w:abstractNumId w:val="16"/>
  </w:num>
  <w:num w:numId="37">
    <w:abstractNumId w:val="34"/>
  </w:num>
  <w:num w:numId="38">
    <w:abstractNumId w:val="22"/>
  </w:num>
  <w:num w:numId="39">
    <w:abstractNumId w:val="12"/>
  </w:num>
  <w:num w:numId="40">
    <w:abstractNumId w:val="48"/>
  </w:num>
  <w:num w:numId="41">
    <w:abstractNumId w:val="1"/>
  </w:num>
  <w:num w:numId="42">
    <w:abstractNumId w:val="33"/>
  </w:num>
  <w:num w:numId="43">
    <w:abstractNumId w:val="15"/>
  </w:num>
  <w:num w:numId="44">
    <w:abstractNumId w:val="37"/>
  </w:num>
  <w:num w:numId="45">
    <w:abstractNumId w:val="25"/>
  </w:num>
  <w:num w:numId="46">
    <w:abstractNumId w:val="31"/>
  </w:num>
  <w:num w:numId="47">
    <w:abstractNumId w:val="38"/>
  </w:num>
  <w:num w:numId="48">
    <w:abstractNumId w:val="42"/>
  </w:num>
  <w:num w:numId="49">
    <w:abstractNumId w:val="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6EDA"/>
    <w:rsid w:val="000274E0"/>
    <w:rsid w:val="00031496"/>
    <w:rsid w:val="0003279D"/>
    <w:rsid w:val="00035A95"/>
    <w:rsid w:val="00040A52"/>
    <w:rsid w:val="00043AFB"/>
    <w:rsid w:val="0005240C"/>
    <w:rsid w:val="0005242B"/>
    <w:rsid w:val="0005385F"/>
    <w:rsid w:val="00072848"/>
    <w:rsid w:val="00075BE0"/>
    <w:rsid w:val="00080027"/>
    <w:rsid w:val="00084CEC"/>
    <w:rsid w:val="00086F37"/>
    <w:rsid w:val="00094048"/>
    <w:rsid w:val="000948D4"/>
    <w:rsid w:val="00095C94"/>
    <w:rsid w:val="000A0C1A"/>
    <w:rsid w:val="000A6F8C"/>
    <w:rsid w:val="000A752C"/>
    <w:rsid w:val="000B0DFB"/>
    <w:rsid w:val="000B26D2"/>
    <w:rsid w:val="000B4583"/>
    <w:rsid w:val="000B6F93"/>
    <w:rsid w:val="000D38E1"/>
    <w:rsid w:val="000D390B"/>
    <w:rsid w:val="000D4342"/>
    <w:rsid w:val="000E3BA5"/>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632"/>
    <w:rsid w:val="00173DE4"/>
    <w:rsid w:val="001805E5"/>
    <w:rsid w:val="001807D0"/>
    <w:rsid w:val="00182390"/>
    <w:rsid w:val="001849C3"/>
    <w:rsid w:val="00187402"/>
    <w:rsid w:val="00187D58"/>
    <w:rsid w:val="00190C9F"/>
    <w:rsid w:val="0019129C"/>
    <w:rsid w:val="00197EC1"/>
    <w:rsid w:val="001A01BF"/>
    <w:rsid w:val="001A156E"/>
    <w:rsid w:val="001A470F"/>
    <w:rsid w:val="001B3B2B"/>
    <w:rsid w:val="001B6327"/>
    <w:rsid w:val="001B6B90"/>
    <w:rsid w:val="001C03C5"/>
    <w:rsid w:val="001C6E3D"/>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048E"/>
    <w:rsid w:val="00261554"/>
    <w:rsid w:val="00270647"/>
    <w:rsid w:val="00272573"/>
    <w:rsid w:val="00277A38"/>
    <w:rsid w:val="00290F74"/>
    <w:rsid w:val="002910A4"/>
    <w:rsid w:val="002977EA"/>
    <w:rsid w:val="002A4641"/>
    <w:rsid w:val="002B5041"/>
    <w:rsid w:val="002C1F30"/>
    <w:rsid w:val="002D5960"/>
    <w:rsid w:val="002E6775"/>
    <w:rsid w:val="002F25F5"/>
    <w:rsid w:val="002F6970"/>
    <w:rsid w:val="00300390"/>
    <w:rsid w:val="00303D52"/>
    <w:rsid w:val="003069C5"/>
    <w:rsid w:val="003216DA"/>
    <w:rsid w:val="0033227D"/>
    <w:rsid w:val="00351CE8"/>
    <w:rsid w:val="00353D45"/>
    <w:rsid w:val="00355CE4"/>
    <w:rsid w:val="00371150"/>
    <w:rsid w:val="00373ACB"/>
    <w:rsid w:val="003836D5"/>
    <w:rsid w:val="0039330D"/>
    <w:rsid w:val="00394EF9"/>
    <w:rsid w:val="0039592D"/>
    <w:rsid w:val="003A0E9F"/>
    <w:rsid w:val="003A4340"/>
    <w:rsid w:val="003A5799"/>
    <w:rsid w:val="003B0B0A"/>
    <w:rsid w:val="003C2448"/>
    <w:rsid w:val="003C3F6C"/>
    <w:rsid w:val="003D0DEB"/>
    <w:rsid w:val="003D66EF"/>
    <w:rsid w:val="003D728E"/>
    <w:rsid w:val="003E319E"/>
    <w:rsid w:val="003E46A7"/>
    <w:rsid w:val="00401D54"/>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18"/>
    <w:rsid w:val="004D1869"/>
    <w:rsid w:val="004D734A"/>
    <w:rsid w:val="00505AE7"/>
    <w:rsid w:val="0050648D"/>
    <w:rsid w:val="00506FCB"/>
    <w:rsid w:val="0051669B"/>
    <w:rsid w:val="00536997"/>
    <w:rsid w:val="0054440F"/>
    <w:rsid w:val="00544B52"/>
    <w:rsid w:val="0054541A"/>
    <w:rsid w:val="00547C15"/>
    <w:rsid w:val="0055050C"/>
    <w:rsid w:val="0055569C"/>
    <w:rsid w:val="00555DD0"/>
    <w:rsid w:val="005600E5"/>
    <w:rsid w:val="0056047C"/>
    <w:rsid w:val="0056275E"/>
    <w:rsid w:val="0056349B"/>
    <w:rsid w:val="00563AD9"/>
    <w:rsid w:val="00573E75"/>
    <w:rsid w:val="00573F7B"/>
    <w:rsid w:val="00591123"/>
    <w:rsid w:val="005A101D"/>
    <w:rsid w:val="005A20B2"/>
    <w:rsid w:val="005A2E5A"/>
    <w:rsid w:val="005A3926"/>
    <w:rsid w:val="005A447B"/>
    <w:rsid w:val="005B603D"/>
    <w:rsid w:val="005C26EA"/>
    <w:rsid w:val="005D564B"/>
    <w:rsid w:val="005E0115"/>
    <w:rsid w:val="005E1875"/>
    <w:rsid w:val="005E3E27"/>
    <w:rsid w:val="005E495F"/>
    <w:rsid w:val="005F3927"/>
    <w:rsid w:val="005F5A31"/>
    <w:rsid w:val="00602C39"/>
    <w:rsid w:val="00603148"/>
    <w:rsid w:val="00605AFD"/>
    <w:rsid w:val="0061073A"/>
    <w:rsid w:val="00610EDA"/>
    <w:rsid w:val="0061263B"/>
    <w:rsid w:val="00613F1C"/>
    <w:rsid w:val="0061487F"/>
    <w:rsid w:val="00616889"/>
    <w:rsid w:val="0061696F"/>
    <w:rsid w:val="00621407"/>
    <w:rsid w:val="00625265"/>
    <w:rsid w:val="00627386"/>
    <w:rsid w:val="00630573"/>
    <w:rsid w:val="00632FFE"/>
    <w:rsid w:val="0063498E"/>
    <w:rsid w:val="00644BA5"/>
    <w:rsid w:val="00646F87"/>
    <w:rsid w:val="00647227"/>
    <w:rsid w:val="00656CA4"/>
    <w:rsid w:val="00656F02"/>
    <w:rsid w:val="0066427E"/>
    <w:rsid w:val="00665C7F"/>
    <w:rsid w:val="00667717"/>
    <w:rsid w:val="006700F4"/>
    <w:rsid w:val="00677193"/>
    <w:rsid w:val="0068106F"/>
    <w:rsid w:val="00682FBE"/>
    <w:rsid w:val="00683167"/>
    <w:rsid w:val="006856F5"/>
    <w:rsid w:val="00686FFB"/>
    <w:rsid w:val="006923ED"/>
    <w:rsid w:val="006943DF"/>
    <w:rsid w:val="006950A4"/>
    <w:rsid w:val="00695AF3"/>
    <w:rsid w:val="006A0877"/>
    <w:rsid w:val="006A2821"/>
    <w:rsid w:val="006B0901"/>
    <w:rsid w:val="006B3E21"/>
    <w:rsid w:val="006B57BD"/>
    <w:rsid w:val="006B74EE"/>
    <w:rsid w:val="006C1643"/>
    <w:rsid w:val="006C17E3"/>
    <w:rsid w:val="006D056B"/>
    <w:rsid w:val="006D7289"/>
    <w:rsid w:val="006D7962"/>
    <w:rsid w:val="006E043D"/>
    <w:rsid w:val="006E1259"/>
    <w:rsid w:val="006F1A4C"/>
    <w:rsid w:val="007021F4"/>
    <w:rsid w:val="007054D1"/>
    <w:rsid w:val="007146CA"/>
    <w:rsid w:val="007500D8"/>
    <w:rsid w:val="00752956"/>
    <w:rsid w:val="0075389A"/>
    <w:rsid w:val="0075782D"/>
    <w:rsid w:val="00762D58"/>
    <w:rsid w:val="007667F7"/>
    <w:rsid w:val="00767E12"/>
    <w:rsid w:val="0077410D"/>
    <w:rsid w:val="007756BD"/>
    <w:rsid w:val="007770BE"/>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1B65"/>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43A0"/>
    <w:rsid w:val="008A45ED"/>
    <w:rsid w:val="008C2B6A"/>
    <w:rsid w:val="008D07F7"/>
    <w:rsid w:val="008D0FFF"/>
    <w:rsid w:val="008E4E2D"/>
    <w:rsid w:val="008E6891"/>
    <w:rsid w:val="008F557E"/>
    <w:rsid w:val="008F6F03"/>
    <w:rsid w:val="00911529"/>
    <w:rsid w:val="00914396"/>
    <w:rsid w:val="009151AD"/>
    <w:rsid w:val="00915CF3"/>
    <w:rsid w:val="00927B1B"/>
    <w:rsid w:val="00933164"/>
    <w:rsid w:val="009334B0"/>
    <w:rsid w:val="0094632A"/>
    <w:rsid w:val="00951222"/>
    <w:rsid w:val="00957C5B"/>
    <w:rsid w:val="0096358B"/>
    <w:rsid w:val="00970560"/>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6E4"/>
    <w:rsid w:val="009C6923"/>
    <w:rsid w:val="009C7188"/>
    <w:rsid w:val="009D2144"/>
    <w:rsid w:val="009D6D85"/>
    <w:rsid w:val="009E36A1"/>
    <w:rsid w:val="009E3AD0"/>
    <w:rsid w:val="009E4669"/>
    <w:rsid w:val="009E482C"/>
    <w:rsid w:val="009F5873"/>
    <w:rsid w:val="00A04429"/>
    <w:rsid w:val="00A15C9B"/>
    <w:rsid w:val="00A31F75"/>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A63A7"/>
    <w:rsid w:val="00AB43C1"/>
    <w:rsid w:val="00AC16E1"/>
    <w:rsid w:val="00AC1B98"/>
    <w:rsid w:val="00AC24AD"/>
    <w:rsid w:val="00AC6493"/>
    <w:rsid w:val="00AE1DC9"/>
    <w:rsid w:val="00AE2DEC"/>
    <w:rsid w:val="00AE6CD8"/>
    <w:rsid w:val="00AF21EF"/>
    <w:rsid w:val="00B001EB"/>
    <w:rsid w:val="00B070B4"/>
    <w:rsid w:val="00B169E6"/>
    <w:rsid w:val="00B20B2A"/>
    <w:rsid w:val="00B219F9"/>
    <w:rsid w:val="00B238A5"/>
    <w:rsid w:val="00B26D78"/>
    <w:rsid w:val="00B440E1"/>
    <w:rsid w:val="00B44923"/>
    <w:rsid w:val="00B60F3E"/>
    <w:rsid w:val="00B624EB"/>
    <w:rsid w:val="00B641F2"/>
    <w:rsid w:val="00B70F7F"/>
    <w:rsid w:val="00B73091"/>
    <w:rsid w:val="00B73BFA"/>
    <w:rsid w:val="00B74003"/>
    <w:rsid w:val="00B92A16"/>
    <w:rsid w:val="00B92FFA"/>
    <w:rsid w:val="00BA0A3C"/>
    <w:rsid w:val="00BA2BBC"/>
    <w:rsid w:val="00BA3F2C"/>
    <w:rsid w:val="00BA44F6"/>
    <w:rsid w:val="00BB409B"/>
    <w:rsid w:val="00BB5E89"/>
    <w:rsid w:val="00BC067B"/>
    <w:rsid w:val="00BC0DAE"/>
    <w:rsid w:val="00BC78AE"/>
    <w:rsid w:val="00BD6F66"/>
    <w:rsid w:val="00BE12AA"/>
    <w:rsid w:val="00BE14AD"/>
    <w:rsid w:val="00BE3EB1"/>
    <w:rsid w:val="00BE7E2A"/>
    <w:rsid w:val="00BF1CA6"/>
    <w:rsid w:val="00C023E7"/>
    <w:rsid w:val="00C024D5"/>
    <w:rsid w:val="00C03BEB"/>
    <w:rsid w:val="00C04461"/>
    <w:rsid w:val="00C160BA"/>
    <w:rsid w:val="00C16CBE"/>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1B0D"/>
    <w:rsid w:val="00CD0A1E"/>
    <w:rsid w:val="00CD4651"/>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B387A"/>
    <w:rsid w:val="00DB5AF6"/>
    <w:rsid w:val="00DB5E3C"/>
    <w:rsid w:val="00DB6FDB"/>
    <w:rsid w:val="00DC5CE0"/>
    <w:rsid w:val="00DD3E3A"/>
    <w:rsid w:val="00DD5DC1"/>
    <w:rsid w:val="00DE6F2C"/>
    <w:rsid w:val="00E03F83"/>
    <w:rsid w:val="00E05220"/>
    <w:rsid w:val="00E05786"/>
    <w:rsid w:val="00E12862"/>
    <w:rsid w:val="00E14C91"/>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B03B3"/>
    <w:rsid w:val="00EB23CD"/>
    <w:rsid w:val="00EB59F8"/>
    <w:rsid w:val="00ED0A21"/>
    <w:rsid w:val="00ED43B9"/>
    <w:rsid w:val="00ED6325"/>
    <w:rsid w:val="00ED703B"/>
    <w:rsid w:val="00EE2AD2"/>
    <w:rsid w:val="00EF3302"/>
    <w:rsid w:val="00EF5CC3"/>
    <w:rsid w:val="00F0427C"/>
    <w:rsid w:val="00F06216"/>
    <w:rsid w:val="00F07736"/>
    <w:rsid w:val="00F12EE5"/>
    <w:rsid w:val="00F13129"/>
    <w:rsid w:val="00F143B6"/>
    <w:rsid w:val="00F20DDB"/>
    <w:rsid w:val="00F213EE"/>
    <w:rsid w:val="00F26B40"/>
    <w:rsid w:val="00F3090A"/>
    <w:rsid w:val="00F362FF"/>
    <w:rsid w:val="00F37293"/>
    <w:rsid w:val="00F4409B"/>
    <w:rsid w:val="00F45A77"/>
    <w:rsid w:val="00F47F7C"/>
    <w:rsid w:val="00F552B1"/>
    <w:rsid w:val="00F6023C"/>
    <w:rsid w:val="00F60FAF"/>
    <w:rsid w:val="00F6478A"/>
    <w:rsid w:val="00F72433"/>
    <w:rsid w:val="00F72B26"/>
    <w:rsid w:val="00F753B2"/>
    <w:rsid w:val="00F81A97"/>
    <w:rsid w:val="00F855B6"/>
    <w:rsid w:val="00F96431"/>
    <w:rsid w:val="00F96A87"/>
    <w:rsid w:val="00FA25B7"/>
    <w:rsid w:val="00FA31EB"/>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72DA8-927F-4B7C-88D2-3FAA6717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5</cp:revision>
  <dcterms:created xsi:type="dcterms:W3CDTF">2013-08-12T09:32:00Z</dcterms:created>
  <dcterms:modified xsi:type="dcterms:W3CDTF">2013-08-12T09:54:00Z</dcterms:modified>
</cp:coreProperties>
</file>